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ABE2" w14:textId="6D9991B0" w:rsidR="00CF38E3" w:rsidRPr="00A82654" w:rsidRDefault="00CF38E3" w:rsidP="00CB0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A82654">
        <w:rPr>
          <w:rFonts w:ascii="Arial" w:hAnsi="Arial" w:cs="Arial"/>
          <w:b/>
          <w:bCs/>
        </w:rPr>
        <w:t>PROGRAMA</w:t>
      </w:r>
      <w:r w:rsidR="0015597B" w:rsidRPr="00A82654">
        <w:rPr>
          <w:rFonts w:ascii="Arial" w:hAnsi="Arial" w:cs="Arial"/>
          <w:b/>
          <w:bCs/>
        </w:rPr>
        <w:t xml:space="preserve"> </w:t>
      </w:r>
      <w:r w:rsidRPr="00A82654">
        <w:rPr>
          <w:rFonts w:ascii="Arial" w:hAnsi="Arial" w:cs="Arial"/>
          <w:b/>
          <w:bCs/>
        </w:rPr>
        <w:t>I</w:t>
      </w:r>
      <w:r w:rsidR="00F05E63" w:rsidRPr="00A82654">
        <w:rPr>
          <w:rFonts w:ascii="Arial" w:hAnsi="Arial" w:cs="Arial"/>
          <w:b/>
          <w:bCs/>
        </w:rPr>
        <w:t>I</w:t>
      </w:r>
      <w:r w:rsidRPr="00A82654">
        <w:rPr>
          <w:rFonts w:ascii="Arial" w:hAnsi="Arial" w:cs="Arial"/>
          <w:b/>
          <w:bCs/>
        </w:rPr>
        <w:t xml:space="preserve"> JORNADAS DE TEORÍA CRÍTICA DEL DERECHO </w:t>
      </w:r>
    </w:p>
    <w:p w14:paraId="5162CB50" w14:textId="0F90DBA5" w:rsidR="007C51EF" w:rsidRPr="00CB0EC3" w:rsidRDefault="00CF38E3" w:rsidP="00CB0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B0EC3">
        <w:rPr>
          <w:rFonts w:ascii="Arial" w:hAnsi="Arial" w:cs="Arial"/>
        </w:rPr>
        <w:t>“</w:t>
      </w:r>
      <w:r w:rsidR="00F05E63" w:rsidRPr="00CB0EC3">
        <w:rPr>
          <w:rFonts w:ascii="Arial" w:hAnsi="Arial" w:cs="Arial"/>
        </w:rPr>
        <w:t xml:space="preserve">50 </w:t>
      </w:r>
      <w:r w:rsidRPr="00CB0EC3">
        <w:rPr>
          <w:rFonts w:ascii="Arial" w:hAnsi="Arial" w:cs="Arial"/>
        </w:rPr>
        <w:t xml:space="preserve">años de </w:t>
      </w:r>
      <w:r w:rsidR="00F05E63" w:rsidRPr="00CB0EC3">
        <w:rPr>
          <w:rFonts w:ascii="Arial" w:hAnsi="Arial" w:cs="Arial"/>
        </w:rPr>
        <w:t>El Derecho como obstáculo al cambio social de Eduardo Novoa Monreal</w:t>
      </w:r>
      <w:r w:rsidRPr="00CB0EC3">
        <w:rPr>
          <w:rFonts w:ascii="Arial" w:hAnsi="Arial" w:cs="Arial"/>
        </w:rPr>
        <w:t>”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999"/>
        <w:gridCol w:w="6917"/>
        <w:gridCol w:w="2140"/>
      </w:tblGrid>
      <w:tr w:rsidR="009F419A" w:rsidRPr="00196CF4" w14:paraId="0AC8CE66" w14:textId="77777777" w:rsidTr="00B848C4">
        <w:tc>
          <w:tcPr>
            <w:tcW w:w="5000" w:type="pct"/>
            <w:gridSpan w:val="3"/>
            <w:shd w:val="clear" w:color="auto" w:fill="4C94D8" w:themeFill="text2" w:themeFillTint="80"/>
            <w:vAlign w:val="center"/>
          </w:tcPr>
          <w:p w14:paraId="7AA0ED9E" w14:textId="60A5371A" w:rsidR="009F419A" w:rsidRPr="00196CF4" w:rsidRDefault="00114966" w:rsidP="00A853A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96CF4">
              <w:rPr>
                <w:rFonts w:ascii="Arial" w:hAnsi="Arial" w:cs="Arial"/>
                <w:b/>
                <w:bCs/>
              </w:rPr>
              <w:t>Miércoles</w:t>
            </w:r>
            <w:r w:rsidR="009F419A" w:rsidRPr="00196CF4">
              <w:rPr>
                <w:rFonts w:ascii="Arial" w:hAnsi="Arial" w:cs="Arial"/>
                <w:b/>
                <w:bCs/>
              </w:rPr>
              <w:t xml:space="preserve"> </w:t>
            </w:r>
            <w:r w:rsidRPr="00196CF4">
              <w:rPr>
                <w:rFonts w:ascii="Arial" w:hAnsi="Arial" w:cs="Arial"/>
                <w:b/>
                <w:bCs/>
              </w:rPr>
              <w:t xml:space="preserve">3 </w:t>
            </w:r>
            <w:r w:rsidR="009F419A" w:rsidRPr="00196CF4">
              <w:rPr>
                <w:rFonts w:ascii="Arial" w:hAnsi="Arial" w:cs="Arial"/>
                <w:b/>
                <w:bCs/>
              </w:rPr>
              <w:t xml:space="preserve">de </w:t>
            </w:r>
            <w:r w:rsidRPr="00196CF4">
              <w:rPr>
                <w:rFonts w:ascii="Arial" w:hAnsi="Arial" w:cs="Arial"/>
                <w:b/>
                <w:bCs/>
              </w:rPr>
              <w:t>diciembre</w:t>
            </w:r>
          </w:p>
        </w:tc>
      </w:tr>
      <w:tr w:rsidR="00196CF4" w:rsidRPr="00196CF4" w14:paraId="09A1E055" w14:textId="77777777" w:rsidTr="00B848C4">
        <w:tc>
          <w:tcPr>
            <w:tcW w:w="497" w:type="pct"/>
            <w:vAlign w:val="center"/>
          </w:tcPr>
          <w:p w14:paraId="54A2C63E" w14:textId="1BDA938B" w:rsidR="00196CF4" w:rsidRPr="00196CF4" w:rsidRDefault="00196CF4" w:rsidP="00A853A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96CF4">
              <w:rPr>
                <w:rFonts w:ascii="Arial" w:hAnsi="Arial" w:cs="Arial"/>
                <w:b/>
                <w:bCs/>
              </w:rPr>
              <w:t>Horario</w:t>
            </w:r>
          </w:p>
        </w:tc>
        <w:tc>
          <w:tcPr>
            <w:tcW w:w="3439" w:type="pct"/>
            <w:vAlign w:val="center"/>
          </w:tcPr>
          <w:p w14:paraId="7B0A3700" w14:textId="5FBEBBFE" w:rsidR="00196CF4" w:rsidRPr="00196CF4" w:rsidRDefault="00196CF4" w:rsidP="00A853A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96CF4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1065" w:type="pct"/>
            <w:vAlign w:val="center"/>
          </w:tcPr>
          <w:p w14:paraId="51ECEF37" w14:textId="6BE9F731" w:rsidR="00196CF4" w:rsidRPr="00196CF4" w:rsidRDefault="00196CF4" w:rsidP="00A853A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96CF4">
              <w:rPr>
                <w:rFonts w:ascii="Arial" w:hAnsi="Arial" w:cs="Arial"/>
                <w:b/>
                <w:bCs/>
              </w:rPr>
              <w:t xml:space="preserve">Sala </w:t>
            </w:r>
          </w:p>
        </w:tc>
      </w:tr>
      <w:tr w:rsidR="00196CF4" w:rsidRPr="00CF38E3" w14:paraId="332E8148" w14:textId="77777777" w:rsidTr="00B848C4">
        <w:tc>
          <w:tcPr>
            <w:tcW w:w="497" w:type="pct"/>
            <w:vAlign w:val="center"/>
          </w:tcPr>
          <w:p w14:paraId="2227DE12" w14:textId="775AF9D5" w:rsidR="00196CF4" w:rsidRPr="00CF38E3" w:rsidRDefault="00167577" w:rsidP="00A853A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3439" w:type="pct"/>
            <w:vAlign w:val="center"/>
          </w:tcPr>
          <w:p w14:paraId="7649BA7B" w14:textId="18985B2C" w:rsidR="00196CF4" w:rsidRPr="005C6F6F" w:rsidRDefault="00196CF4" w:rsidP="00A853A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C6F6F">
              <w:rPr>
                <w:rFonts w:ascii="Arial" w:hAnsi="Arial" w:cs="Arial"/>
                <w:b/>
                <w:bCs/>
              </w:rPr>
              <w:t xml:space="preserve">Acreditación de </w:t>
            </w:r>
            <w:r w:rsidR="004E1124" w:rsidRPr="005C6F6F">
              <w:rPr>
                <w:rFonts w:ascii="Arial" w:hAnsi="Arial" w:cs="Arial"/>
                <w:b/>
                <w:bCs/>
              </w:rPr>
              <w:t xml:space="preserve">los </w:t>
            </w:r>
            <w:r w:rsidRPr="005C6F6F">
              <w:rPr>
                <w:rFonts w:ascii="Arial" w:hAnsi="Arial" w:cs="Arial"/>
                <w:b/>
                <w:bCs/>
              </w:rPr>
              <w:t>asistentes</w:t>
            </w:r>
          </w:p>
        </w:tc>
        <w:tc>
          <w:tcPr>
            <w:tcW w:w="1065" w:type="pct"/>
            <w:vAlign w:val="center"/>
          </w:tcPr>
          <w:p w14:paraId="0583FA85" w14:textId="087230E9" w:rsidR="00196CF4" w:rsidRPr="00CF38E3" w:rsidRDefault="007A7C45" w:rsidP="007A7C4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Condell 282</w:t>
            </w:r>
          </w:p>
        </w:tc>
      </w:tr>
      <w:tr w:rsidR="00C66E1B" w:rsidRPr="00CF38E3" w14:paraId="607F62DF" w14:textId="77777777" w:rsidTr="0032694D">
        <w:trPr>
          <w:trHeight w:val="971"/>
        </w:trPr>
        <w:tc>
          <w:tcPr>
            <w:tcW w:w="497" w:type="pct"/>
            <w:vAlign w:val="center"/>
          </w:tcPr>
          <w:p w14:paraId="08E6BFCD" w14:textId="35329C0C" w:rsidR="00C66E1B" w:rsidRDefault="00975604" w:rsidP="002C56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  <w:r w:rsidR="00C66E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9" w:type="pct"/>
            <w:vAlign w:val="center"/>
          </w:tcPr>
          <w:p w14:paraId="5C73200C" w14:textId="05711273" w:rsidR="00C66E1B" w:rsidRPr="005C6F6F" w:rsidRDefault="00C66E1B" w:rsidP="0032694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C6F6F">
              <w:rPr>
                <w:rFonts w:ascii="Arial" w:hAnsi="Arial" w:cs="Arial"/>
                <w:b/>
                <w:bCs/>
              </w:rPr>
              <w:t>Inauguración</w:t>
            </w:r>
            <w:r w:rsidR="0032694D">
              <w:rPr>
                <w:rFonts w:ascii="Arial" w:hAnsi="Arial" w:cs="Arial"/>
                <w:b/>
                <w:bCs/>
              </w:rPr>
              <w:t xml:space="preserve"> y saludos de autoridades</w:t>
            </w:r>
          </w:p>
        </w:tc>
        <w:tc>
          <w:tcPr>
            <w:tcW w:w="1065" w:type="pct"/>
            <w:vAlign w:val="center"/>
          </w:tcPr>
          <w:p w14:paraId="0347471A" w14:textId="04F86DF3" w:rsidR="00C66E1B" w:rsidRPr="00CF38E3" w:rsidRDefault="00522C88" w:rsidP="00C17F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de Reuniones</w:t>
            </w:r>
            <w:r w:rsidR="00C17F34">
              <w:rPr>
                <w:rFonts w:ascii="Arial" w:hAnsi="Arial" w:cs="Arial"/>
              </w:rPr>
              <w:t xml:space="preserve"> Condell 282</w:t>
            </w:r>
            <w:r w:rsidR="00C66E1B">
              <w:rPr>
                <w:rFonts w:ascii="Arial" w:hAnsi="Arial" w:cs="Arial"/>
              </w:rPr>
              <w:br/>
            </w:r>
          </w:p>
        </w:tc>
      </w:tr>
      <w:tr w:rsidR="0051280D" w:rsidRPr="00CF38E3" w14:paraId="0F122938" w14:textId="77777777" w:rsidTr="00B848C4">
        <w:trPr>
          <w:trHeight w:val="933"/>
        </w:trPr>
        <w:tc>
          <w:tcPr>
            <w:tcW w:w="497" w:type="pct"/>
            <w:vAlign w:val="center"/>
          </w:tcPr>
          <w:p w14:paraId="39612E0E" w14:textId="4F70003B" w:rsidR="0051280D" w:rsidRDefault="0051280D" w:rsidP="00C17F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17.30</w:t>
            </w:r>
          </w:p>
        </w:tc>
        <w:tc>
          <w:tcPr>
            <w:tcW w:w="3439" w:type="pct"/>
            <w:vAlign w:val="center"/>
          </w:tcPr>
          <w:p w14:paraId="4856E1B0" w14:textId="060A024E" w:rsidR="0051280D" w:rsidRDefault="0051280D" w:rsidP="00C17F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C6F6F">
              <w:rPr>
                <w:rFonts w:ascii="Arial" w:hAnsi="Arial" w:cs="Arial"/>
                <w:b/>
                <w:bCs/>
              </w:rPr>
              <w:t>Clase Magistral Inaugural</w:t>
            </w:r>
            <w:r w:rsidR="00EA1ACB">
              <w:rPr>
                <w:rFonts w:ascii="Arial" w:hAnsi="Arial" w:cs="Arial"/>
                <w:b/>
                <w:bCs/>
              </w:rPr>
              <w:t>:</w:t>
            </w:r>
          </w:p>
          <w:p w14:paraId="31828110" w14:textId="1E935655" w:rsidR="00EA1ACB" w:rsidRPr="005C6F6F" w:rsidRDefault="00EA1ACB" w:rsidP="00C17F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A1ACB">
              <w:rPr>
                <w:rFonts w:ascii="Arial" w:hAnsi="Arial" w:cs="Arial"/>
                <w:b/>
                <w:bCs/>
              </w:rPr>
              <w:t>"Las cuatro vías de neutralización del Estado de Derecho"</w:t>
            </w:r>
          </w:p>
          <w:p w14:paraId="4A6E86BE" w14:textId="77777777" w:rsidR="00D242CA" w:rsidRDefault="0051280D" w:rsidP="00C17F3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C6F6F">
              <w:rPr>
                <w:rFonts w:ascii="Arial" w:hAnsi="Arial" w:cs="Arial"/>
                <w:b/>
                <w:bCs/>
              </w:rPr>
              <w:t>Invitado internacional</w:t>
            </w:r>
            <w:r w:rsidR="00D242CA">
              <w:rPr>
                <w:rFonts w:ascii="Arial" w:hAnsi="Arial" w:cs="Arial"/>
                <w:b/>
                <w:bCs/>
              </w:rPr>
              <w:t>:</w:t>
            </w:r>
            <w:r w:rsidRPr="005C6F6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A0425AC" w14:textId="273EEBF3" w:rsidR="0051280D" w:rsidRDefault="0051280D" w:rsidP="00C17F34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 w:rsidRPr="005C6F6F">
              <w:rPr>
                <w:rFonts w:ascii="Arial" w:hAnsi="Arial" w:cs="Arial"/>
                <w:b/>
                <w:bCs/>
              </w:rPr>
              <w:t>Damian</w:t>
            </w:r>
            <w:proofErr w:type="spellEnd"/>
            <w:r w:rsidRPr="005C6F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6F6F">
              <w:rPr>
                <w:rFonts w:ascii="Arial" w:hAnsi="Arial" w:cs="Arial"/>
                <w:b/>
                <w:bCs/>
              </w:rPr>
              <w:t>Rosanovic</w:t>
            </w:r>
            <w:r w:rsidR="00841556">
              <w:rPr>
                <w:rFonts w:ascii="Arial" w:hAnsi="Arial" w:cs="Arial"/>
                <w:b/>
                <w:bCs/>
              </w:rPr>
              <w:t>h</w:t>
            </w:r>
            <w:proofErr w:type="spellEnd"/>
            <w:r w:rsidR="00D242CA">
              <w:rPr>
                <w:rFonts w:ascii="Arial" w:hAnsi="Arial" w:cs="Arial"/>
                <w:b/>
                <w:bCs/>
              </w:rPr>
              <w:t xml:space="preserve">, </w:t>
            </w:r>
            <w:r w:rsidR="00D242CA" w:rsidRPr="00D242CA">
              <w:rPr>
                <w:rFonts w:ascii="Arial" w:hAnsi="Arial" w:cs="Arial"/>
                <w:b/>
                <w:bCs/>
                <w:lang w:val="es-ES"/>
              </w:rPr>
              <w:t>Doctor en Filosofía por la Universidad de Buenos Aires.</w:t>
            </w:r>
          </w:p>
        </w:tc>
        <w:tc>
          <w:tcPr>
            <w:tcW w:w="1065" w:type="pct"/>
            <w:vAlign w:val="center"/>
          </w:tcPr>
          <w:p w14:paraId="385EB2A8" w14:textId="36D2A4A4" w:rsidR="0051280D" w:rsidRDefault="0051280D" w:rsidP="00C17F3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de Reuniones Condell 282</w:t>
            </w:r>
            <w:r>
              <w:rPr>
                <w:rFonts w:ascii="Arial" w:hAnsi="Arial" w:cs="Arial"/>
              </w:rPr>
              <w:br/>
            </w:r>
          </w:p>
        </w:tc>
      </w:tr>
      <w:tr w:rsidR="00196CF4" w:rsidRPr="00CF38E3" w14:paraId="55651A45" w14:textId="77777777" w:rsidTr="00B848C4">
        <w:trPr>
          <w:trHeight w:val="933"/>
        </w:trPr>
        <w:tc>
          <w:tcPr>
            <w:tcW w:w="497" w:type="pct"/>
            <w:vAlign w:val="center"/>
          </w:tcPr>
          <w:p w14:paraId="19B790A1" w14:textId="70B9B177" w:rsidR="00196CF4" w:rsidRDefault="00975604" w:rsidP="002C56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</w:t>
            </w:r>
          </w:p>
        </w:tc>
        <w:tc>
          <w:tcPr>
            <w:tcW w:w="3439" w:type="pct"/>
            <w:vAlign w:val="center"/>
          </w:tcPr>
          <w:p w14:paraId="32343785" w14:textId="308E77B6" w:rsidR="00196CF4" w:rsidRPr="005C6F6F" w:rsidRDefault="001B7C8C" w:rsidP="002C560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Cierre</w:t>
            </w:r>
          </w:p>
        </w:tc>
        <w:tc>
          <w:tcPr>
            <w:tcW w:w="1065" w:type="pct"/>
            <w:vAlign w:val="center"/>
          </w:tcPr>
          <w:p w14:paraId="1842CAA7" w14:textId="4F66FB31" w:rsidR="00196CF4" w:rsidRDefault="00C17F34" w:rsidP="002C560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Condell 282</w:t>
            </w:r>
          </w:p>
        </w:tc>
      </w:tr>
    </w:tbl>
    <w:p w14:paraId="15352188" w14:textId="7645C1F4" w:rsidR="00B23BF6" w:rsidRPr="00CB0EC3" w:rsidRDefault="00B23BF6" w:rsidP="00AD0227">
      <w:pPr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7095"/>
        <w:gridCol w:w="1976"/>
      </w:tblGrid>
      <w:tr w:rsidR="00196CF4" w:rsidRPr="00CD30CA" w14:paraId="2EFA2213" w14:textId="4611F62B" w:rsidTr="0051280D">
        <w:tc>
          <w:tcPr>
            <w:tcW w:w="5000" w:type="pct"/>
            <w:gridSpan w:val="3"/>
            <w:shd w:val="clear" w:color="auto" w:fill="4C94D8" w:themeFill="text2" w:themeFillTint="80"/>
          </w:tcPr>
          <w:p w14:paraId="3A1DB2C0" w14:textId="1BCA1089" w:rsidR="00196CF4" w:rsidRPr="00CD30CA" w:rsidRDefault="00196CF4" w:rsidP="00D2711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D30CA">
              <w:rPr>
                <w:rFonts w:ascii="Arial" w:hAnsi="Arial" w:cs="Arial"/>
                <w:b/>
                <w:bCs/>
              </w:rPr>
              <w:t>Jueves 4 de diciembre</w:t>
            </w:r>
          </w:p>
        </w:tc>
      </w:tr>
      <w:tr w:rsidR="00196CF4" w:rsidRPr="00CF38E3" w14:paraId="27546CFB" w14:textId="77777777" w:rsidTr="006D2038">
        <w:tc>
          <w:tcPr>
            <w:tcW w:w="496" w:type="pct"/>
          </w:tcPr>
          <w:p w14:paraId="77209915" w14:textId="3BE127EC" w:rsidR="00196CF4" w:rsidRPr="00B34056" w:rsidRDefault="00196CF4" w:rsidP="004E289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Horario</w:t>
            </w:r>
          </w:p>
        </w:tc>
        <w:tc>
          <w:tcPr>
            <w:tcW w:w="3523" w:type="pct"/>
            <w:vAlign w:val="center"/>
          </w:tcPr>
          <w:p w14:paraId="389DB13E" w14:textId="21D6AABA" w:rsidR="00196CF4" w:rsidRPr="00B34056" w:rsidRDefault="00196CF4" w:rsidP="004E289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981" w:type="pct"/>
          </w:tcPr>
          <w:p w14:paraId="14A55FAF" w14:textId="72095AB6" w:rsidR="00196CF4" w:rsidRPr="00B34056" w:rsidRDefault="00196CF4" w:rsidP="004E289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</w:t>
            </w:r>
          </w:p>
        </w:tc>
      </w:tr>
      <w:tr w:rsidR="004E1124" w:rsidRPr="00CF38E3" w14:paraId="3CCC7139" w14:textId="77777777" w:rsidTr="006D2038">
        <w:trPr>
          <w:trHeight w:val="620"/>
        </w:trPr>
        <w:tc>
          <w:tcPr>
            <w:tcW w:w="496" w:type="pct"/>
            <w:vAlign w:val="center"/>
          </w:tcPr>
          <w:p w14:paraId="3FE00781" w14:textId="10277F8D" w:rsidR="004E1124" w:rsidRPr="000348B7" w:rsidRDefault="000B3298" w:rsidP="004E112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8B7">
              <w:rPr>
                <w:rFonts w:ascii="Arial" w:hAnsi="Arial" w:cs="Arial"/>
                <w:b/>
                <w:bCs/>
              </w:rPr>
              <w:t>1</w:t>
            </w:r>
            <w:r w:rsidR="00D06216">
              <w:rPr>
                <w:rFonts w:ascii="Arial" w:hAnsi="Arial" w:cs="Arial"/>
                <w:b/>
                <w:bCs/>
              </w:rPr>
              <w:t>0</w:t>
            </w:r>
            <w:r w:rsidRPr="000348B7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3523" w:type="pct"/>
            <w:vAlign w:val="center"/>
          </w:tcPr>
          <w:p w14:paraId="108CBF2D" w14:textId="2B9731B7" w:rsidR="004E1124" w:rsidRPr="003578D9" w:rsidRDefault="004E1124" w:rsidP="004E11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Acreditación de los asistentes</w:t>
            </w:r>
          </w:p>
        </w:tc>
        <w:tc>
          <w:tcPr>
            <w:tcW w:w="981" w:type="pct"/>
            <w:vAlign w:val="center"/>
          </w:tcPr>
          <w:p w14:paraId="028ED6A0" w14:textId="0235E953" w:rsidR="004E1124" w:rsidRDefault="00CE78EE" w:rsidP="004E1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Auditorio Salvador Sanfuentes</w:t>
            </w:r>
            <w:r w:rsidR="00916710">
              <w:rPr>
                <w:rFonts w:ascii="Arial" w:hAnsi="Arial" w:cs="Arial"/>
              </w:rPr>
              <w:t xml:space="preserve"> 2355</w:t>
            </w:r>
          </w:p>
        </w:tc>
      </w:tr>
      <w:tr w:rsidR="00CE78EE" w:rsidRPr="00CF38E3" w14:paraId="5E4D7D89" w14:textId="77777777" w:rsidTr="006D2038">
        <w:trPr>
          <w:trHeight w:val="933"/>
        </w:trPr>
        <w:tc>
          <w:tcPr>
            <w:tcW w:w="496" w:type="pct"/>
            <w:vAlign w:val="center"/>
          </w:tcPr>
          <w:p w14:paraId="3829684D" w14:textId="2C62F12E" w:rsidR="00CE78EE" w:rsidRPr="000348B7" w:rsidRDefault="00CE78EE" w:rsidP="00CE78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0348B7">
              <w:rPr>
                <w:rFonts w:ascii="Arial" w:hAnsi="Arial" w:cs="Arial"/>
                <w:b/>
                <w:bCs/>
              </w:rPr>
              <w:t>.30</w:t>
            </w:r>
          </w:p>
        </w:tc>
        <w:tc>
          <w:tcPr>
            <w:tcW w:w="3523" w:type="pct"/>
            <w:vAlign w:val="center"/>
          </w:tcPr>
          <w:p w14:paraId="6B7BF27F" w14:textId="78474CED" w:rsidR="00CE78EE" w:rsidRPr="003578D9" w:rsidRDefault="00CE78EE" w:rsidP="00CE78EE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8D9">
              <w:rPr>
                <w:rFonts w:ascii="Arial" w:hAnsi="Arial" w:cs="Arial"/>
                <w:b/>
                <w:bCs/>
              </w:rPr>
              <w:t>Apertura de las jornadas</w:t>
            </w:r>
            <w:r w:rsidR="00B848C4">
              <w:rPr>
                <w:rFonts w:ascii="Arial" w:hAnsi="Arial" w:cs="Arial"/>
                <w:b/>
                <w:bCs/>
              </w:rPr>
              <w:t xml:space="preserve"> </w:t>
            </w:r>
            <w:r w:rsidRPr="003578D9">
              <w:rPr>
                <w:rFonts w:ascii="Arial" w:hAnsi="Arial" w:cs="Arial"/>
                <w:b/>
                <w:bCs/>
              </w:rPr>
              <w:t xml:space="preserve">Homenaje a ENM: </w:t>
            </w:r>
          </w:p>
          <w:p w14:paraId="5383420E" w14:textId="5869734E" w:rsidR="00CE78EE" w:rsidRDefault="00CE78EE" w:rsidP="00CE78EE">
            <w:pPr>
              <w:jc w:val="center"/>
              <w:rPr>
                <w:rFonts w:ascii="Arial" w:hAnsi="Arial" w:cs="Arial"/>
              </w:rPr>
            </w:pPr>
            <w:r w:rsidRPr="003578D9">
              <w:rPr>
                <w:rFonts w:ascii="Arial" w:hAnsi="Arial" w:cs="Arial"/>
                <w:b/>
                <w:bCs/>
              </w:rPr>
              <w:t>Profesor Claudio Quintana</w:t>
            </w:r>
            <w:r>
              <w:rPr>
                <w:rFonts w:ascii="Arial" w:hAnsi="Arial" w:cs="Arial"/>
                <w:b/>
                <w:bCs/>
              </w:rPr>
              <w:t xml:space="preserve"> (Telemático)</w:t>
            </w:r>
          </w:p>
        </w:tc>
        <w:tc>
          <w:tcPr>
            <w:tcW w:w="981" w:type="pct"/>
            <w:vAlign w:val="center"/>
          </w:tcPr>
          <w:p w14:paraId="6D89E61B" w14:textId="7CF51A25" w:rsidR="00CE78EE" w:rsidRDefault="00CE78EE" w:rsidP="00CE78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Auditorio Salvador Sanfuentes</w:t>
            </w:r>
            <w:r w:rsidR="00916710">
              <w:rPr>
                <w:rFonts w:ascii="Arial" w:hAnsi="Arial" w:cs="Arial"/>
              </w:rPr>
              <w:t xml:space="preserve"> 2355</w:t>
            </w:r>
          </w:p>
        </w:tc>
      </w:tr>
      <w:tr w:rsidR="008C5A8D" w:rsidRPr="00CF38E3" w14:paraId="17B97407" w14:textId="725E940C" w:rsidTr="006D2038">
        <w:tc>
          <w:tcPr>
            <w:tcW w:w="496" w:type="pct"/>
            <w:vAlign w:val="center"/>
          </w:tcPr>
          <w:p w14:paraId="0EC0EFAA" w14:textId="142B25A7" w:rsidR="008C5A8D" w:rsidRPr="00B34056" w:rsidRDefault="008C5A8D" w:rsidP="008C5A8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523" w:type="pct"/>
            <w:vAlign w:val="center"/>
          </w:tcPr>
          <w:p w14:paraId="030D165D" w14:textId="3EB3B203" w:rsidR="008C5A8D" w:rsidRDefault="008C5A8D" w:rsidP="008C5A8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34056">
              <w:rPr>
                <w:rFonts w:ascii="Arial" w:hAnsi="Arial" w:cs="Arial"/>
                <w:b/>
                <w:bCs/>
              </w:rPr>
              <w:t xml:space="preserve">MESA 1: </w:t>
            </w:r>
          </w:p>
          <w:p w14:paraId="76A7EFDD" w14:textId="7E1A5E28" w:rsidR="008C5A8D" w:rsidRPr="00FF7AC8" w:rsidRDefault="008C5A8D" w:rsidP="008C5A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Eduardo </w:t>
            </w:r>
            <w:r w:rsidRPr="00FF7AC8">
              <w:rPr>
                <w:rFonts w:ascii="Arial" w:hAnsi="Arial" w:cs="Arial"/>
                <w:b/>
                <w:bCs/>
                <w:lang w:val="es-ES"/>
              </w:rPr>
              <w:t xml:space="preserve">Novoa Monreal y la </w:t>
            </w:r>
            <w:r>
              <w:rPr>
                <w:rFonts w:ascii="Arial" w:hAnsi="Arial" w:cs="Arial"/>
                <w:b/>
                <w:bCs/>
                <w:lang w:val="es-ES"/>
              </w:rPr>
              <w:t>v</w:t>
            </w:r>
            <w:r w:rsidRPr="00FF7AC8">
              <w:rPr>
                <w:rFonts w:ascii="Arial" w:hAnsi="Arial" w:cs="Arial"/>
                <w:b/>
                <w:bCs/>
                <w:lang w:val="es-ES"/>
              </w:rPr>
              <w:t xml:space="preserve">igencia de la </w:t>
            </w:r>
            <w:r>
              <w:rPr>
                <w:rFonts w:ascii="Arial" w:hAnsi="Arial" w:cs="Arial"/>
                <w:b/>
                <w:bCs/>
                <w:lang w:val="es-ES"/>
              </w:rPr>
              <w:t>c</w:t>
            </w:r>
            <w:r w:rsidRPr="00FF7AC8">
              <w:rPr>
                <w:rFonts w:ascii="Arial" w:hAnsi="Arial" w:cs="Arial"/>
                <w:b/>
                <w:bCs/>
                <w:lang w:val="es-ES"/>
              </w:rPr>
              <w:t xml:space="preserve">rítica del Derecho como </w:t>
            </w:r>
            <w:r>
              <w:rPr>
                <w:rFonts w:ascii="Arial" w:hAnsi="Arial" w:cs="Arial"/>
                <w:b/>
                <w:bCs/>
                <w:lang w:val="es-ES"/>
              </w:rPr>
              <w:t>o</w:t>
            </w:r>
            <w:r w:rsidRPr="00FF7AC8">
              <w:rPr>
                <w:rFonts w:ascii="Arial" w:hAnsi="Arial" w:cs="Arial"/>
                <w:b/>
                <w:bCs/>
                <w:lang w:val="es-ES"/>
              </w:rPr>
              <w:t>bstáculo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al cambio social</w:t>
            </w:r>
          </w:p>
          <w:p w14:paraId="69CCAFE8" w14:textId="2F3CF8EE" w:rsidR="008C5A8D" w:rsidRPr="00104251" w:rsidRDefault="008C5A8D" w:rsidP="008C5A8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E289D">
              <w:rPr>
                <w:rFonts w:ascii="Arial" w:hAnsi="Arial" w:cs="Arial"/>
              </w:rPr>
              <w:t>Esta mesa</w:t>
            </w:r>
            <w:r>
              <w:rPr>
                <w:rFonts w:ascii="Arial" w:hAnsi="Arial" w:cs="Arial"/>
              </w:rPr>
              <w:t xml:space="preserve"> </w:t>
            </w:r>
            <w:r w:rsidRPr="004E289D">
              <w:rPr>
                <w:rFonts w:ascii="Arial" w:hAnsi="Arial" w:cs="Arial"/>
              </w:rPr>
              <w:t xml:space="preserve">aborda el legado de Eduardo Novoa Monreal, </w:t>
            </w:r>
            <w:r>
              <w:rPr>
                <w:rFonts w:ascii="Arial" w:hAnsi="Arial" w:cs="Arial"/>
              </w:rPr>
              <w:t xml:space="preserve">en términos de analizar </w:t>
            </w:r>
            <w:r w:rsidRPr="004E289D">
              <w:rPr>
                <w:rFonts w:ascii="Arial" w:hAnsi="Arial" w:cs="Arial"/>
              </w:rPr>
              <w:t>cómo el derecho opera como instrumento de conservación del orden establecid</w:t>
            </w:r>
            <w:r>
              <w:rPr>
                <w:rFonts w:ascii="Arial" w:hAnsi="Arial" w:cs="Arial"/>
              </w:rPr>
              <w:t xml:space="preserve">o, articulando </w:t>
            </w:r>
            <w:r w:rsidRPr="004E289D">
              <w:rPr>
                <w:rFonts w:ascii="Arial" w:hAnsi="Arial" w:cs="Arial"/>
              </w:rPr>
              <w:t>la crítica histórica con contextos contemporáneos.</w:t>
            </w:r>
            <w:r>
              <w:rPr>
                <w:rFonts w:ascii="Arial" w:hAnsi="Arial" w:cs="Arial"/>
              </w:rPr>
              <w:t xml:space="preserve"> </w:t>
            </w:r>
            <w:r w:rsidRPr="0091362F">
              <w:rPr>
                <w:rFonts w:ascii="Arial" w:hAnsi="Arial" w:cs="Arial"/>
              </w:rPr>
              <w:t>Modera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DD4BE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1362F" w:rsidRPr="0091362F">
              <w:rPr>
                <w:rFonts w:ascii="Arial" w:hAnsi="Arial" w:cs="Arial"/>
              </w:rPr>
              <w:t>Aleca</w:t>
            </w:r>
            <w:proofErr w:type="spellEnd"/>
            <w:r w:rsidR="0091362F" w:rsidRPr="0091362F">
              <w:rPr>
                <w:rFonts w:ascii="Arial" w:hAnsi="Arial" w:cs="Arial"/>
              </w:rPr>
              <w:t xml:space="preserve"> Soto Lillo</w:t>
            </w:r>
          </w:p>
          <w:p w14:paraId="23742BA0" w14:textId="5DE01D6C" w:rsidR="008C5A8D" w:rsidRDefault="008C5A8D" w:rsidP="008C5A8D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947D12">
              <w:rPr>
                <w:rFonts w:ascii="Arial" w:hAnsi="Arial" w:cs="Arial"/>
                <w:b/>
                <w:bCs/>
              </w:rPr>
              <w:t>Samuel Hernández Farías:</w:t>
            </w:r>
            <w:r w:rsidRPr="00743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947D12">
              <w:rPr>
                <w:rFonts w:ascii="Arial" w:hAnsi="Arial" w:cs="Arial"/>
              </w:rPr>
              <w:t xml:space="preserve">electura crítica de la tesis central de Eduardo Novoa Monreal en El </w:t>
            </w:r>
            <w:r>
              <w:rPr>
                <w:rFonts w:ascii="Arial" w:hAnsi="Arial" w:cs="Arial"/>
              </w:rPr>
              <w:t>D</w:t>
            </w:r>
            <w:r w:rsidRPr="00947D12">
              <w:rPr>
                <w:rFonts w:ascii="Arial" w:hAnsi="Arial" w:cs="Arial"/>
              </w:rPr>
              <w:t xml:space="preserve">erecho como obstáculo </w:t>
            </w:r>
            <w:r>
              <w:rPr>
                <w:rFonts w:ascii="Arial" w:hAnsi="Arial" w:cs="Arial"/>
              </w:rPr>
              <w:t>al cambio</w:t>
            </w:r>
            <w:r w:rsidRPr="00947D12">
              <w:rPr>
                <w:rFonts w:ascii="Arial" w:hAnsi="Arial" w:cs="Arial"/>
              </w:rPr>
              <w:t xml:space="preserve"> social</w:t>
            </w:r>
          </w:p>
          <w:p w14:paraId="26453346" w14:textId="05BBE49E" w:rsidR="008C5A8D" w:rsidRDefault="008C5A8D" w:rsidP="008C5A8D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091E52">
              <w:rPr>
                <w:rFonts w:ascii="Arial" w:hAnsi="Arial" w:cs="Arial"/>
                <w:b/>
                <w:bCs/>
              </w:rPr>
              <w:lastRenderedPageBreak/>
              <w:t>Ignacio Villegas Medel:</w:t>
            </w:r>
            <w:r w:rsidRPr="007F13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 Derecho como obstáculo al cambio social: </w:t>
            </w:r>
            <w:r w:rsidRPr="00163BD7">
              <w:rPr>
                <w:rFonts w:ascii="Arial" w:hAnsi="Arial" w:cs="Arial"/>
              </w:rPr>
              <w:t>certeza jurídica</w:t>
            </w:r>
            <w:r>
              <w:rPr>
                <w:rFonts w:ascii="Arial" w:hAnsi="Arial" w:cs="Arial"/>
              </w:rPr>
              <w:t xml:space="preserve"> como protección de </w:t>
            </w:r>
            <w:r w:rsidRPr="00163BD7">
              <w:rPr>
                <w:rFonts w:ascii="Arial" w:hAnsi="Arial" w:cs="Arial"/>
              </w:rPr>
              <w:t>las "expectativas legítimas" del capital</w:t>
            </w:r>
          </w:p>
          <w:p w14:paraId="24D14114" w14:textId="15F83AB3" w:rsidR="008C5A8D" w:rsidRDefault="008C5A8D" w:rsidP="008C5A8D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AA47D1">
              <w:rPr>
                <w:rFonts w:ascii="Arial" w:hAnsi="Arial" w:cs="Arial"/>
                <w:b/>
                <w:bCs/>
                <w:lang w:val="es-ES"/>
              </w:rPr>
              <w:t>Josefa Contreras y Martina Soto</w:t>
            </w:r>
            <w:r w:rsidRPr="00AA47D1">
              <w:rPr>
                <w:rFonts w:ascii="Arial" w:hAnsi="Arial" w:cs="Arial"/>
                <w:lang w:val="es-ES"/>
              </w:rPr>
              <w:t xml:space="preserve">: </w:t>
            </w:r>
            <w:r w:rsidRPr="005F34FB">
              <w:rPr>
                <w:rFonts w:ascii="Arial" w:hAnsi="Arial" w:cs="Arial"/>
                <w:lang w:val="es-ES"/>
              </w:rPr>
              <w:t xml:space="preserve">El </w:t>
            </w:r>
            <w:r w:rsidR="000A70DC">
              <w:rPr>
                <w:rFonts w:ascii="Arial" w:hAnsi="Arial" w:cs="Arial"/>
                <w:lang w:val="es-ES"/>
              </w:rPr>
              <w:t>D</w:t>
            </w:r>
            <w:r w:rsidRPr="005F34FB">
              <w:rPr>
                <w:rFonts w:ascii="Arial" w:hAnsi="Arial" w:cs="Arial"/>
                <w:lang w:val="es-ES"/>
              </w:rPr>
              <w:t>erecho como obstáculo al cambio social</w:t>
            </w:r>
            <w:r>
              <w:rPr>
                <w:rFonts w:ascii="Arial" w:hAnsi="Arial" w:cs="Arial"/>
                <w:lang w:val="es-ES"/>
              </w:rPr>
              <w:t xml:space="preserve">: </w:t>
            </w:r>
            <w:r w:rsidRPr="005F34FB">
              <w:rPr>
                <w:rFonts w:ascii="Arial" w:hAnsi="Arial" w:cs="Arial"/>
                <w:lang w:val="es-ES"/>
              </w:rPr>
              <w:t>El derecho como regla ordenadora formal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3861B715" w14:textId="52B395CD" w:rsidR="002965C1" w:rsidRPr="00985D0B" w:rsidRDefault="000A70DC" w:rsidP="008C5A8D">
            <w:pPr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Millaray Tejo</w:t>
            </w:r>
            <w:r w:rsidR="006C2E6C">
              <w:rPr>
                <w:rFonts w:ascii="Arial" w:hAnsi="Arial" w:cs="Arial"/>
                <w:b/>
                <w:bCs/>
                <w:lang w:val="es-ES"/>
              </w:rPr>
              <w:t xml:space="preserve"> Uribe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: </w:t>
            </w:r>
            <w:r w:rsidR="00B276F4" w:rsidRPr="000A70DC">
              <w:rPr>
                <w:rFonts w:ascii="Arial" w:hAnsi="Arial" w:cs="Arial"/>
                <w:lang w:val="es-ES"/>
              </w:rPr>
              <w:t xml:space="preserve">Ausencia de una Ley Integral de Educación Sexual </w:t>
            </w:r>
            <w:r w:rsidR="00A55403" w:rsidRPr="000A70DC">
              <w:rPr>
                <w:rFonts w:ascii="Arial" w:hAnsi="Arial" w:cs="Arial"/>
                <w:lang w:val="es-ES"/>
              </w:rPr>
              <w:t>bajo “El Derecho como obstáculo al</w:t>
            </w:r>
            <w:r w:rsidRPr="000A70DC">
              <w:rPr>
                <w:rFonts w:ascii="Arial" w:hAnsi="Arial" w:cs="Arial"/>
                <w:lang w:val="es-ES"/>
              </w:rPr>
              <w:t xml:space="preserve"> c</w:t>
            </w:r>
            <w:r w:rsidR="00A55403" w:rsidRPr="000A70DC">
              <w:rPr>
                <w:rFonts w:ascii="Arial" w:hAnsi="Arial" w:cs="Arial"/>
                <w:lang w:val="es-ES"/>
              </w:rPr>
              <w:t xml:space="preserve">ambio </w:t>
            </w:r>
            <w:r w:rsidRPr="000A70DC">
              <w:rPr>
                <w:rFonts w:ascii="Arial" w:hAnsi="Arial" w:cs="Arial"/>
                <w:lang w:val="es-ES"/>
              </w:rPr>
              <w:t>s</w:t>
            </w:r>
            <w:r w:rsidR="00A55403" w:rsidRPr="000A70DC">
              <w:rPr>
                <w:rFonts w:ascii="Arial" w:hAnsi="Arial" w:cs="Arial"/>
                <w:lang w:val="es-ES"/>
              </w:rPr>
              <w:t>ocial</w:t>
            </w:r>
            <w:r w:rsidRPr="000A70DC">
              <w:rPr>
                <w:rFonts w:ascii="Arial" w:hAnsi="Arial" w:cs="Arial"/>
                <w:lang w:val="es-ES"/>
              </w:rPr>
              <w:t>”</w:t>
            </w:r>
          </w:p>
        </w:tc>
        <w:tc>
          <w:tcPr>
            <w:tcW w:w="981" w:type="pct"/>
            <w:vAlign w:val="center"/>
          </w:tcPr>
          <w:p w14:paraId="316273CA" w14:textId="114413FE" w:rsidR="008C5A8D" w:rsidRPr="00B34056" w:rsidRDefault="008C5A8D" w:rsidP="008C5A8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Auditorio Salvador Sanfuentes 2355</w:t>
            </w:r>
          </w:p>
        </w:tc>
      </w:tr>
      <w:tr w:rsidR="002204B3" w:rsidRPr="00CF38E3" w14:paraId="198EC2DC" w14:textId="77777777" w:rsidTr="006D2038">
        <w:tc>
          <w:tcPr>
            <w:tcW w:w="496" w:type="pct"/>
            <w:vAlign w:val="center"/>
          </w:tcPr>
          <w:p w14:paraId="5D9EFB39" w14:textId="28A9FB3C" w:rsidR="002204B3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12.15</w:t>
            </w:r>
          </w:p>
        </w:tc>
        <w:tc>
          <w:tcPr>
            <w:tcW w:w="3523" w:type="pct"/>
            <w:vAlign w:val="center"/>
          </w:tcPr>
          <w:p w14:paraId="3718B258" w14:textId="2E3A976C" w:rsidR="002204B3" w:rsidRPr="00FB7DC4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Café – Intermedio</w:t>
            </w:r>
          </w:p>
        </w:tc>
        <w:tc>
          <w:tcPr>
            <w:tcW w:w="981" w:type="pct"/>
            <w:vAlign w:val="center"/>
          </w:tcPr>
          <w:p w14:paraId="497E9E61" w14:textId="7BE5F8B3" w:rsidR="002204B3" w:rsidRDefault="002204B3" w:rsidP="002204B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Auditorio Salvador Sanfuentes 2355</w:t>
            </w:r>
          </w:p>
        </w:tc>
      </w:tr>
      <w:tr w:rsidR="002204B3" w:rsidRPr="00CF38E3" w14:paraId="6CF79BF3" w14:textId="3088AA71" w:rsidTr="006D2038">
        <w:tc>
          <w:tcPr>
            <w:tcW w:w="496" w:type="pct"/>
            <w:vAlign w:val="center"/>
          </w:tcPr>
          <w:p w14:paraId="71060E48" w14:textId="6D5DF49F" w:rsidR="002204B3" w:rsidRPr="00FB7DC4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12.30</w:t>
            </w:r>
          </w:p>
        </w:tc>
        <w:tc>
          <w:tcPr>
            <w:tcW w:w="3523" w:type="pct"/>
            <w:vAlign w:val="center"/>
          </w:tcPr>
          <w:p w14:paraId="13E35291" w14:textId="4F1B9A94" w:rsidR="002204B3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B7DC4">
              <w:rPr>
                <w:rFonts w:ascii="Arial" w:hAnsi="Arial" w:cs="Arial"/>
                <w:b/>
                <w:bCs/>
              </w:rPr>
              <w:t>MESA 2:</w:t>
            </w:r>
          </w:p>
          <w:p w14:paraId="2F88AD57" w14:textId="2012FF92" w:rsidR="002204B3" w:rsidRPr="00FB7DC4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B7DC4">
              <w:rPr>
                <w:rFonts w:ascii="Arial" w:hAnsi="Arial" w:cs="Arial"/>
                <w:b/>
                <w:bCs/>
              </w:rPr>
              <w:t>Forma Jurídica y Marxismo: Crítica de la Economía Política del Derecho</w:t>
            </w:r>
          </w:p>
          <w:p w14:paraId="296EAB36" w14:textId="6476D3BE" w:rsidR="002204B3" w:rsidRPr="00104251" w:rsidRDefault="002204B3" w:rsidP="002204B3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Las ponencias p</w:t>
            </w:r>
            <w:r w:rsidRPr="004E289D">
              <w:rPr>
                <w:rFonts w:ascii="Arial" w:hAnsi="Arial" w:cs="Arial"/>
              </w:rPr>
              <w:t>rofundiza</w:t>
            </w:r>
            <w:r>
              <w:rPr>
                <w:rFonts w:ascii="Arial" w:hAnsi="Arial" w:cs="Arial"/>
              </w:rPr>
              <w:t>n</w:t>
            </w:r>
            <w:r w:rsidRPr="004E289D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 xml:space="preserve">la </w:t>
            </w:r>
            <w:r w:rsidRPr="004E289D">
              <w:rPr>
                <w:rFonts w:ascii="Arial" w:hAnsi="Arial" w:cs="Arial"/>
              </w:rPr>
              <w:t>teoría marxista del derecho, examinando la "forma jurídica" como fetichismo</w:t>
            </w:r>
            <w:r>
              <w:rPr>
                <w:rFonts w:ascii="Arial" w:hAnsi="Arial" w:cs="Arial"/>
              </w:rPr>
              <w:t xml:space="preserve"> y</w:t>
            </w:r>
            <w:r w:rsidRPr="004E28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reproducción de </w:t>
            </w:r>
            <w:r w:rsidRPr="004E289D">
              <w:rPr>
                <w:rFonts w:ascii="Arial" w:hAnsi="Arial" w:cs="Arial"/>
              </w:rPr>
              <w:t>relaciones capitalistas</w:t>
            </w:r>
            <w:r>
              <w:rPr>
                <w:rFonts w:ascii="Arial" w:hAnsi="Arial" w:cs="Arial"/>
              </w:rPr>
              <w:t>, mediante formulaciones</w:t>
            </w:r>
            <w:r w:rsidRPr="004E28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r w:rsidRPr="004E289D">
              <w:rPr>
                <w:rFonts w:ascii="Arial" w:hAnsi="Arial" w:cs="Arial"/>
              </w:rPr>
              <w:t>análisis materialista</w:t>
            </w:r>
            <w:r>
              <w:rPr>
                <w:rFonts w:ascii="Arial" w:hAnsi="Arial" w:cs="Arial"/>
              </w:rPr>
              <w:t>s</w:t>
            </w:r>
            <w:r w:rsidRPr="004E28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para </w:t>
            </w:r>
            <w:r w:rsidRPr="004E289D">
              <w:rPr>
                <w:rFonts w:ascii="Arial" w:hAnsi="Arial" w:cs="Arial"/>
              </w:rPr>
              <w:t>casos concretos de explotación económica.</w:t>
            </w:r>
            <w:r>
              <w:rPr>
                <w:rFonts w:ascii="Arial" w:hAnsi="Arial" w:cs="Arial"/>
              </w:rPr>
              <w:t xml:space="preserve"> </w:t>
            </w:r>
            <w:r w:rsidRPr="0091362F">
              <w:rPr>
                <w:rFonts w:ascii="Arial" w:hAnsi="Arial" w:cs="Arial"/>
              </w:rPr>
              <w:t>Modera:</w:t>
            </w:r>
            <w:r>
              <w:rPr>
                <w:rFonts w:ascii="Arial" w:hAnsi="Arial" w:cs="Arial"/>
              </w:rPr>
              <w:t xml:space="preserve"> Felipe </w:t>
            </w:r>
            <w:proofErr w:type="spellStart"/>
            <w:r>
              <w:rPr>
                <w:rFonts w:ascii="Arial" w:hAnsi="Arial" w:cs="Arial"/>
              </w:rPr>
              <w:t>Galvez</w:t>
            </w:r>
            <w:proofErr w:type="spellEnd"/>
            <w:r>
              <w:rPr>
                <w:rFonts w:ascii="Arial" w:hAnsi="Arial" w:cs="Arial"/>
              </w:rPr>
              <w:t xml:space="preserve"> Cortés</w:t>
            </w:r>
          </w:p>
          <w:p w14:paraId="5D2E2BDF" w14:textId="77777777" w:rsidR="002204B3" w:rsidRDefault="002204B3" w:rsidP="002204B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C66B0F">
              <w:rPr>
                <w:rFonts w:ascii="Arial" w:hAnsi="Arial" w:cs="Arial"/>
                <w:b/>
                <w:bCs/>
              </w:rPr>
              <w:t>José Miguel Ledesma Romero</w:t>
            </w:r>
            <w:r w:rsidRPr="00285771">
              <w:rPr>
                <w:rFonts w:ascii="Arial" w:hAnsi="Arial" w:cs="Arial"/>
              </w:rPr>
              <w:t>: La forma jurídica de la renta de la tierra en el caso del litio: entre la propiedad estatal y la explotación privada</w:t>
            </w:r>
          </w:p>
          <w:p w14:paraId="796815C1" w14:textId="77777777" w:rsidR="002204B3" w:rsidRDefault="002204B3" w:rsidP="002204B3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AA47D1">
              <w:rPr>
                <w:rFonts w:ascii="Arial" w:hAnsi="Arial" w:cs="Arial"/>
                <w:b/>
                <w:bCs/>
                <w:lang w:val="es-ES"/>
              </w:rPr>
              <w:t xml:space="preserve">Marcelo Joaquín Vásquez </w:t>
            </w:r>
            <w:proofErr w:type="spellStart"/>
            <w:r w:rsidRPr="00AA47D1">
              <w:rPr>
                <w:rFonts w:ascii="Arial" w:hAnsi="Arial" w:cs="Arial"/>
                <w:b/>
                <w:bCs/>
                <w:lang w:val="es-ES"/>
              </w:rPr>
              <w:t>Ontón</w:t>
            </w:r>
            <w:proofErr w:type="spellEnd"/>
            <w:r w:rsidRPr="00AA47D1">
              <w:rPr>
                <w:rFonts w:ascii="Arial" w:hAnsi="Arial" w:cs="Arial"/>
                <w:lang w:val="es-ES"/>
              </w:rPr>
              <w:t xml:space="preserve">: </w:t>
            </w:r>
            <w:r w:rsidRPr="009B1D0E">
              <w:rPr>
                <w:rFonts w:ascii="Arial" w:hAnsi="Arial" w:cs="Arial"/>
                <w:lang w:val="es-ES"/>
              </w:rPr>
              <w:t>Crisis ecológica y forma jurídica: derechos de la naturaleza, eco-constitucionalismo y nuevos horizontes ambientales</w:t>
            </w:r>
          </w:p>
          <w:p w14:paraId="486AAD99" w14:textId="77777777" w:rsidR="002204B3" w:rsidRDefault="002204B3" w:rsidP="002204B3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Yuri Santander Vásquez</w:t>
            </w:r>
            <w:r w:rsidRPr="00217E0A">
              <w:rPr>
                <w:rFonts w:ascii="Arial" w:hAnsi="Arial" w:cs="Arial"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104251">
              <w:rPr>
                <w:rFonts w:ascii="Arial" w:hAnsi="Arial" w:cs="Arial"/>
                <w:lang w:val="es-ES"/>
              </w:rPr>
              <w:t>El populismo penal: entre el fetichismo y el enemigo</w:t>
            </w:r>
          </w:p>
          <w:p w14:paraId="61D2BF09" w14:textId="6C66A653" w:rsidR="002204B3" w:rsidRPr="000A6AB5" w:rsidRDefault="002204B3" w:rsidP="002204B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74309">
              <w:rPr>
                <w:rFonts w:ascii="Arial" w:hAnsi="Arial" w:cs="Arial"/>
                <w:b/>
                <w:bCs/>
              </w:rPr>
              <w:t>Alejandro Quezada:</w:t>
            </w:r>
            <w:r w:rsidRPr="0074395B">
              <w:rPr>
                <w:rFonts w:ascii="Arial" w:hAnsi="Arial" w:cs="Arial"/>
              </w:rPr>
              <w:t xml:space="preserve"> </w:t>
            </w:r>
            <w:r w:rsidRPr="00174309">
              <w:rPr>
                <w:rFonts w:ascii="Arial" w:hAnsi="Arial" w:cs="Arial"/>
              </w:rPr>
              <w:t>Forma jurídica, capital ilegal y lucha de clases en el Perú</w:t>
            </w:r>
            <w:r>
              <w:rPr>
                <w:rFonts w:ascii="Arial" w:hAnsi="Arial" w:cs="Arial"/>
              </w:rPr>
              <w:t xml:space="preserve"> (Telemático)</w:t>
            </w:r>
          </w:p>
        </w:tc>
        <w:tc>
          <w:tcPr>
            <w:tcW w:w="981" w:type="pct"/>
            <w:vAlign w:val="center"/>
          </w:tcPr>
          <w:p w14:paraId="05FF86C6" w14:textId="41A69A5F" w:rsidR="002204B3" w:rsidRPr="00FB7DC4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Auditorio Salvador Sanfuentes 2355</w:t>
            </w:r>
          </w:p>
        </w:tc>
      </w:tr>
      <w:tr w:rsidR="002204B3" w:rsidRPr="00CF38E3" w14:paraId="4A280CF9" w14:textId="0D33D6E8" w:rsidTr="006D2038">
        <w:tc>
          <w:tcPr>
            <w:tcW w:w="496" w:type="pct"/>
            <w:vAlign w:val="center"/>
          </w:tcPr>
          <w:p w14:paraId="587778DD" w14:textId="75F789DE" w:rsidR="002204B3" w:rsidRPr="00AA47D1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16.00</w:t>
            </w:r>
          </w:p>
        </w:tc>
        <w:tc>
          <w:tcPr>
            <w:tcW w:w="3523" w:type="pct"/>
            <w:vAlign w:val="center"/>
          </w:tcPr>
          <w:p w14:paraId="0B281A02" w14:textId="43596B55" w:rsidR="002204B3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AA47D1">
              <w:rPr>
                <w:rFonts w:ascii="Arial" w:hAnsi="Arial" w:cs="Arial"/>
                <w:b/>
                <w:bCs/>
                <w:lang w:val="es-ES"/>
              </w:rPr>
              <w:t xml:space="preserve">MESA 3 </w:t>
            </w:r>
          </w:p>
          <w:p w14:paraId="35492121" w14:textId="413D0C1F" w:rsidR="002204B3" w:rsidRPr="0099442D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9442D">
              <w:rPr>
                <w:rFonts w:ascii="Arial" w:hAnsi="Arial" w:cs="Arial"/>
                <w:b/>
                <w:bCs/>
                <w:lang w:val="es-ES"/>
              </w:rPr>
              <w:t>Liberalismo Jurídico e Individualismo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. </w:t>
            </w:r>
            <w:r w:rsidRPr="0099442D">
              <w:rPr>
                <w:rFonts w:ascii="Arial" w:hAnsi="Arial" w:cs="Arial"/>
                <w:b/>
                <w:bCs/>
                <w:lang w:val="es-ES"/>
              </w:rPr>
              <w:t>Fundamentos de la Reproducción de Desigualdades</w:t>
            </w:r>
          </w:p>
          <w:p w14:paraId="5188BC8A" w14:textId="22CE55DD" w:rsidR="002204B3" w:rsidRPr="00171F43" w:rsidRDefault="002204B3" w:rsidP="002204B3">
            <w:p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99442D">
              <w:rPr>
                <w:rFonts w:ascii="Arial" w:hAnsi="Arial" w:cs="Arial"/>
                <w:lang w:val="es-ES"/>
              </w:rPr>
              <w:t>Esta mesa propone analizar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99442D">
              <w:rPr>
                <w:rFonts w:ascii="Arial" w:hAnsi="Arial" w:cs="Arial"/>
                <w:lang w:val="es-ES"/>
              </w:rPr>
              <w:t>cómo el liberalismo individualista reproduce estructuralmente desigualdades de clase</w:t>
            </w:r>
            <w:r>
              <w:rPr>
                <w:rFonts w:ascii="Arial" w:hAnsi="Arial" w:cs="Arial"/>
                <w:lang w:val="es-ES"/>
              </w:rPr>
              <w:t xml:space="preserve"> y</w:t>
            </w:r>
            <w:r w:rsidRPr="0099442D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mostrar </w:t>
            </w:r>
            <w:r w:rsidRPr="0099442D">
              <w:rPr>
                <w:rFonts w:ascii="Arial" w:hAnsi="Arial" w:cs="Arial"/>
                <w:lang w:val="es-ES"/>
              </w:rPr>
              <w:t xml:space="preserve">que la neutralidad formal del derecho es consecuencia necesaria del orden capitalista, no </w:t>
            </w:r>
            <w:r>
              <w:rPr>
                <w:rFonts w:ascii="Arial" w:hAnsi="Arial" w:cs="Arial"/>
                <w:lang w:val="es-ES"/>
              </w:rPr>
              <w:t xml:space="preserve">un </w:t>
            </w:r>
            <w:r w:rsidRPr="0099442D">
              <w:rPr>
                <w:rFonts w:ascii="Arial" w:hAnsi="Arial" w:cs="Arial"/>
                <w:lang w:val="es-ES"/>
              </w:rPr>
              <w:t>defecto subsanable.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171F43">
              <w:rPr>
                <w:rFonts w:ascii="Arial" w:hAnsi="Arial" w:cs="Arial"/>
                <w:lang w:val="es-ES"/>
              </w:rPr>
              <w:t>Modera:</w:t>
            </w:r>
            <w:r>
              <w:rPr>
                <w:rFonts w:ascii="Arial" w:hAnsi="Arial" w:cs="Arial"/>
                <w:lang w:val="es-ES"/>
              </w:rPr>
              <w:t xml:space="preserve"> Yuri Santander Vásquez</w:t>
            </w:r>
          </w:p>
          <w:p w14:paraId="3076D4C3" w14:textId="7FE214A4" w:rsidR="002204B3" w:rsidRPr="00AA47D1" w:rsidRDefault="002204B3" w:rsidP="002204B3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AA47D1">
              <w:rPr>
                <w:rFonts w:ascii="Arial" w:hAnsi="Arial" w:cs="Arial"/>
                <w:b/>
                <w:bCs/>
                <w:lang w:val="es-ES"/>
              </w:rPr>
              <w:t>Mauricio Fuentes Salvo</w:t>
            </w:r>
            <w:r w:rsidRPr="00AA47D1">
              <w:rPr>
                <w:rFonts w:ascii="Arial" w:hAnsi="Arial" w:cs="Arial"/>
                <w:lang w:val="es-ES"/>
              </w:rPr>
              <w:t xml:space="preserve">: </w:t>
            </w:r>
            <w:r w:rsidRPr="00BB5721">
              <w:rPr>
                <w:rFonts w:ascii="Arial" w:hAnsi="Arial" w:cs="Arial"/>
                <w:lang w:val="es-ES"/>
              </w:rPr>
              <w:t>Derecho, liberalismo individualista y organización privada del trabajo social</w:t>
            </w:r>
          </w:p>
          <w:p w14:paraId="661C42A7" w14:textId="77777777" w:rsidR="002204B3" w:rsidRDefault="002204B3" w:rsidP="002204B3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1F1566">
              <w:rPr>
                <w:rFonts w:ascii="Arial" w:hAnsi="Arial" w:cs="Arial"/>
                <w:b/>
                <w:bCs/>
                <w:lang w:val="es-ES"/>
              </w:rPr>
              <w:t>Pablo Gómez Manzano</w:t>
            </w:r>
            <w:r w:rsidRPr="001F1566">
              <w:rPr>
                <w:rFonts w:ascii="Arial" w:hAnsi="Arial" w:cs="Arial"/>
                <w:lang w:val="es-ES"/>
              </w:rPr>
              <w:t>: Aportes interdisciplinares a la teoría crítica del Derecho: el caso de la “Escuela de Teoría Crítica de Getafe”</w:t>
            </w:r>
          </w:p>
          <w:p w14:paraId="314549AC" w14:textId="66958C0D" w:rsidR="002204B3" w:rsidRPr="00983CD9" w:rsidRDefault="002204B3" w:rsidP="002204B3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 xml:space="preserve">Sebastián Vera Briones: </w:t>
            </w:r>
            <w:r w:rsidRPr="00793565">
              <w:rPr>
                <w:rFonts w:ascii="Arial" w:hAnsi="Arial" w:cs="Arial"/>
                <w:lang w:val="es-ES"/>
              </w:rPr>
              <w:t>"La crítica de Eduardo Novoa Monreal en El Derecho como Obstáculo al cambio Social"</w:t>
            </w:r>
          </w:p>
        </w:tc>
        <w:tc>
          <w:tcPr>
            <w:tcW w:w="981" w:type="pct"/>
            <w:vAlign w:val="center"/>
          </w:tcPr>
          <w:p w14:paraId="18C8298C" w14:textId="1F211513" w:rsidR="002204B3" w:rsidRPr="006B4AA3" w:rsidRDefault="002204B3" w:rsidP="002204B3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B4AA3">
              <w:rPr>
                <w:rFonts w:ascii="Arial" w:hAnsi="Arial" w:cs="Arial"/>
                <w:lang w:val="es-ES"/>
              </w:rPr>
              <w:lastRenderedPageBreak/>
              <w:t>Sala de litigación Alameda</w:t>
            </w:r>
            <w:r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  <w:tr w:rsidR="002204B3" w:rsidRPr="00CF38E3" w14:paraId="2E39EDD7" w14:textId="77777777" w:rsidTr="006D2038">
        <w:tc>
          <w:tcPr>
            <w:tcW w:w="496" w:type="pct"/>
            <w:vAlign w:val="center"/>
          </w:tcPr>
          <w:p w14:paraId="04C4994D" w14:textId="01DBC865" w:rsidR="002204B3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17.00</w:t>
            </w:r>
          </w:p>
        </w:tc>
        <w:tc>
          <w:tcPr>
            <w:tcW w:w="3523" w:type="pct"/>
            <w:vAlign w:val="center"/>
          </w:tcPr>
          <w:p w14:paraId="0539D2AD" w14:textId="1C384F68" w:rsidR="002204B3" w:rsidRPr="00AA47D1" w:rsidRDefault="002204B3" w:rsidP="00220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Café – cierre</w:t>
            </w:r>
          </w:p>
        </w:tc>
        <w:tc>
          <w:tcPr>
            <w:tcW w:w="981" w:type="pct"/>
          </w:tcPr>
          <w:p w14:paraId="1653F710" w14:textId="54F65B25" w:rsidR="002204B3" w:rsidRPr="006B4AA3" w:rsidRDefault="002204B3" w:rsidP="002204B3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B4AA3">
              <w:rPr>
                <w:rFonts w:ascii="Arial" w:hAnsi="Arial" w:cs="Arial"/>
                <w:lang w:val="es-ES"/>
              </w:rPr>
              <w:t>Hall Alameda</w:t>
            </w:r>
            <w:r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</w:tbl>
    <w:p w14:paraId="456844F3" w14:textId="58788EB1" w:rsidR="00B23BF6" w:rsidRPr="00CB0EC3" w:rsidRDefault="00B23BF6" w:rsidP="0051280D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0"/>
        <w:gridCol w:w="6968"/>
        <w:gridCol w:w="1962"/>
      </w:tblGrid>
      <w:tr w:rsidR="00196CF4" w:rsidRPr="00CF38E3" w14:paraId="29BA0B75" w14:textId="0964C758" w:rsidTr="0051280D">
        <w:tc>
          <w:tcPr>
            <w:tcW w:w="5000" w:type="pct"/>
            <w:gridSpan w:val="3"/>
            <w:shd w:val="clear" w:color="auto" w:fill="4C94D8" w:themeFill="text2" w:themeFillTint="80"/>
          </w:tcPr>
          <w:p w14:paraId="7A401EEE" w14:textId="5B49D04D" w:rsidR="00196CF4" w:rsidRDefault="0015597B" w:rsidP="0049288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br w:type="page"/>
            </w:r>
            <w:r w:rsidR="00196CF4">
              <w:rPr>
                <w:rFonts w:ascii="Arial" w:hAnsi="Arial" w:cs="Arial"/>
                <w:b/>
                <w:bCs/>
                <w:lang w:val="es-ES"/>
              </w:rPr>
              <w:t>Viernes 5 de diciembre</w:t>
            </w:r>
          </w:p>
        </w:tc>
      </w:tr>
      <w:tr w:rsidR="00196CF4" w:rsidRPr="00CF38E3" w14:paraId="153DFB45" w14:textId="77777777" w:rsidTr="0051280D">
        <w:tc>
          <w:tcPr>
            <w:tcW w:w="566" w:type="pct"/>
          </w:tcPr>
          <w:p w14:paraId="4B5AD300" w14:textId="5D0B210A" w:rsidR="00196CF4" w:rsidRPr="00492886" w:rsidRDefault="00196CF4" w:rsidP="0049288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Horario</w:t>
            </w:r>
          </w:p>
        </w:tc>
        <w:tc>
          <w:tcPr>
            <w:tcW w:w="3460" w:type="pct"/>
            <w:vAlign w:val="center"/>
          </w:tcPr>
          <w:p w14:paraId="765D7586" w14:textId="744294D8" w:rsidR="00196CF4" w:rsidRPr="00492886" w:rsidRDefault="00196CF4" w:rsidP="0049288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Actividad </w:t>
            </w:r>
          </w:p>
        </w:tc>
        <w:tc>
          <w:tcPr>
            <w:tcW w:w="974" w:type="pct"/>
          </w:tcPr>
          <w:p w14:paraId="7A727D4D" w14:textId="712C125E" w:rsidR="00196CF4" w:rsidRPr="00492886" w:rsidRDefault="00196CF4" w:rsidP="0049288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Sala</w:t>
            </w:r>
          </w:p>
        </w:tc>
      </w:tr>
      <w:tr w:rsidR="0006206E" w:rsidRPr="00CF38E3" w14:paraId="4ED92B27" w14:textId="52FB39B9" w:rsidTr="0051280D">
        <w:tc>
          <w:tcPr>
            <w:tcW w:w="566" w:type="pct"/>
            <w:vAlign w:val="center"/>
          </w:tcPr>
          <w:p w14:paraId="4A804FA1" w14:textId="54F24111" w:rsidR="0006206E" w:rsidRPr="00492886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 w:rsidR="00787F35">
              <w:rPr>
                <w:rFonts w:ascii="Arial" w:hAnsi="Arial" w:cs="Arial"/>
                <w:b/>
                <w:bCs/>
                <w:lang w:val="es-ES"/>
              </w:rPr>
              <w:t>0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  <w:r w:rsidR="00787F35">
              <w:rPr>
                <w:rFonts w:ascii="Arial" w:hAnsi="Arial" w:cs="Arial"/>
                <w:b/>
                <w:bCs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3460" w:type="pct"/>
            <w:vAlign w:val="center"/>
          </w:tcPr>
          <w:p w14:paraId="0FE49AFA" w14:textId="437DC1CB" w:rsidR="0006206E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92886">
              <w:rPr>
                <w:rFonts w:ascii="Arial" w:hAnsi="Arial" w:cs="Arial"/>
                <w:b/>
                <w:bCs/>
                <w:lang w:val="es-ES"/>
              </w:rPr>
              <w:t xml:space="preserve">MESA 4 </w:t>
            </w:r>
          </w:p>
          <w:p w14:paraId="63D46B53" w14:textId="6A094C9E" w:rsidR="0006206E" w:rsidRPr="00492886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Teoría Crítica y Derechos fundamentales</w:t>
            </w:r>
          </w:p>
          <w:p w14:paraId="67264384" w14:textId="237083BD" w:rsidR="0006206E" w:rsidRPr="00530772" w:rsidRDefault="0006206E" w:rsidP="0006206E">
            <w:p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Los ponentes en esta mesa e</w:t>
            </w:r>
            <w:r w:rsidRPr="00492886">
              <w:rPr>
                <w:rFonts w:ascii="Arial" w:hAnsi="Arial" w:cs="Arial"/>
                <w:lang w:val="es-ES"/>
              </w:rPr>
              <w:t xml:space="preserve">xploran </w:t>
            </w:r>
            <w:r>
              <w:rPr>
                <w:rFonts w:ascii="Arial" w:hAnsi="Arial" w:cs="Arial"/>
                <w:lang w:val="es-ES"/>
              </w:rPr>
              <w:t>cuestiones acerca de observar y construir modelos de aplicación de</w:t>
            </w:r>
            <w:r w:rsidRPr="00492886">
              <w:rPr>
                <w:rFonts w:ascii="Arial" w:hAnsi="Arial" w:cs="Arial"/>
                <w:lang w:val="es-ES"/>
              </w:rPr>
              <w:t xml:space="preserve"> justicia desde perspectivas </w:t>
            </w:r>
            <w:r>
              <w:rPr>
                <w:rFonts w:ascii="Arial" w:hAnsi="Arial" w:cs="Arial"/>
                <w:lang w:val="es-ES"/>
              </w:rPr>
              <w:t>basadas en los derechos fundamentales pero</w:t>
            </w:r>
            <w:r w:rsidRPr="00492886">
              <w:rPr>
                <w:rFonts w:ascii="Arial" w:hAnsi="Arial" w:cs="Arial"/>
                <w:lang w:val="es-ES"/>
              </w:rPr>
              <w:t xml:space="preserve"> que trasciend</w:t>
            </w:r>
            <w:r>
              <w:rPr>
                <w:rFonts w:ascii="Arial" w:hAnsi="Arial" w:cs="Arial"/>
                <w:lang w:val="es-ES"/>
              </w:rPr>
              <w:t>a</w:t>
            </w:r>
            <w:r w:rsidRPr="00492886">
              <w:rPr>
                <w:rFonts w:ascii="Arial" w:hAnsi="Arial" w:cs="Arial"/>
                <w:lang w:val="es-ES"/>
              </w:rPr>
              <w:t>n el marco institucional liberal.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5D744E">
              <w:rPr>
                <w:rFonts w:ascii="Arial" w:hAnsi="Arial" w:cs="Arial"/>
                <w:lang w:val="es-ES"/>
              </w:rPr>
              <w:t>Modera</w:t>
            </w:r>
            <w:r>
              <w:rPr>
                <w:rFonts w:ascii="Arial" w:hAnsi="Arial" w:cs="Arial"/>
                <w:b/>
                <w:bCs/>
                <w:lang w:val="es-ES"/>
              </w:rPr>
              <w:t>:</w:t>
            </w:r>
            <w:r w:rsidR="00530772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530772">
              <w:rPr>
                <w:rFonts w:ascii="Arial" w:hAnsi="Arial" w:cs="Arial"/>
                <w:lang w:val="es-ES"/>
              </w:rPr>
              <w:t>Felipe Carreño Gaete</w:t>
            </w:r>
          </w:p>
          <w:p w14:paraId="7383D97E" w14:textId="77777777" w:rsidR="0006206E" w:rsidRDefault="0006206E" w:rsidP="0006206E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492886">
              <w:rPr>
                <w:rFonts w:ascii="Arial" w:hAnsi="Arial" w:cs="Arial"/>
                <w:b/>
                <w:bCs/>
                <w:lang w:val="es-ES"/>
              </w:rPr>
              <w:t>Salvador Millaleo</w:t>
            </w:r>
            <w:r w:rsidRPr="00492886">
              <w:rPr>
                <w:rFonts w:ascii="Arial" w:hAnsi="Arial" w:cs="Arial"/>
                <w:lang w:val="es-ES"/>
              </w:rPr>
              <w:t xml:space="preserve">: </w:t>
            </w:r>
            <w:r w:rsidRPr="009B1D0E">
              <w:rPr>
                <w:rFonts w:ascii="Arial" w:hAnsi="Arial" w:cs="Arial"/>
                <w:lang w:val="es-ES"/>
              </w:rPr>
              <w:t>Para una Teoría Crítica Indígena del Derecho</w:t>
            </w:r>
          </w:p>
          <w:p w14:paraId="1AF666C6" w14:textId="77777777" w:rsidR="0006206E" w:rsidRDefault="0006206E" w:rsidP="0006206E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6419D6">
              <w:rPr>
                <w:rFonts w:ascii="Arial" w:hAnsi="Arial" w:cs="Arial"/>
                <w:b/>
                <w:bCs/>
                <w:lang w:val="es-ES"/>
              </w:rPr>
              <w:t>Arlette Reyes</w:t>
            </w:r>
            <w:r w:rsidRPr="006419D6">
              <w:rPr>
                <w:rFonts w:ascii="Arial" w:hAnsi="Arial" w:cs="Arial"/>
                <w:lang w:val="es-ES"/>
              </w:rPr>
              <w:t>: La violación estructural de derechos humanos de adolescentes privados de libertad en Chile.</w:t>
            </w:r>
          </w:p>
          <w:p w14:paraId="203AFA01" w14:textId="77777777" w:rsidR="0006206E" w:rsidRDefault="0006206E" w:rsidP="0006206E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531133">
              <w:rPr>
                <w:rFonts w:ascii="Arial" w:hAnsi="Arial" w:cs="Arial"/>
                <w:b/>
                <w:bCs/>
                <w:lang w:val="es-ES"/>
              </w:rPr>
              <w:t>Karen Zegarra Cortés</w:t>
            </w:r>
            <w:r w:rsidRPr="00531133">
              <w:rPr>
                <w:rFonts w:ascii="Arial" w:hAnsi="Arial" w:cs="Arial"/>
                <w:lang w:val="es-ES"/>
              </w:rPr>
              <w:t>: ¿Cómo se ha entendido el derecho de libertad de conciencia desde el fallo de despenalización del aborto? Análisis crítico de alcances y límites de un derecho sin límites</w:t>
            </w:r>
          </w:p>
          <w:p w14:paraId="07868641" w14:textId="572D36BD" w:rsidR="006C2E6C" w:rsidRPr="00F92131" w:rsidRDefault="00A31EE2" w:rsidP="00F92131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F92131">
              <w:rPr>
                <w:rFonts w:ascii="Arial" w:hAnsi="Arial" w:cs="Arial"/>
                <w:b/>
                <w:bCs/>
                <w:lang w:val="es-ES"/>
              </w:rPr>
              <w:t xml:space="preserve">Janis Soto </w:t>
            </w:r>
            <w:r w:rsidR="00F92131" w:rsidRPr="00F92131">
              <w:rPr>
                <w:rFonts w:ascii="Arial" w:hAnsi="Arial" w:cs="Arial"/>
                <w:b/>
                <w:bCs/>
                <w:lang w:val="es-ES"/>
              </w:rPr>
              <w:t>Contreras</w:t>
            </w:r>
            <w:r w:rsidR="00F92131" w:rsidRPr="00F92131">
              <w:rPr>
                <w:rFonts w:ascii="Arial" w:hAnsi="Arial" w:cs="Arial"/>
                <w:lang w:val="es-ES"/>
              </w:rPr>
              <w:t xml:space="preserve">: </w:t>
            </w:r>
            <w:r w:rsidR="00F92131">
              <w:rPr>
                <w:rFonts w:ascii="Arial" w:hAnsi="Arial" w:cs="Arial"/>
                <w:lang w:val="es-ES"/>
              </w:rPr>
              <w:t>La s</w:t>
            </w:r>
            <w:r w:rsidR="00F92131" w:rsidRPr="00F92131">
              <w:rPr>
                <w:rFonts w:ascii="Arial" w:hAnsi="Arial" w:cs="Arial"/>
                <w:lang w:val="es-ES"/>
              </w:rPr>
              <w:t>ubyugación económica sistemática</w:t>
            </w:r>
            <w:r w:rsidR="00F92131">
              <w:rPr>
                <w:rFonts w:ascii="Arial" w:hAnsi="Arial" w:cs="Arial"/>
                <w:lang w:val="es-ES"/>
              </w:rPr>
              <w:t>: E</w:t>
            </w:r>
            <w:r w:rsidR="00F92131" w:rsidRPr="00F92131">
              <w:rPr>
                <w:rFonts w:ascii="Arial" w:hAnsi="Arial" w:cs="Arial"/>
                <w:lang w:val="es-ES"/>
              </w:rPr>
              <w:t>conomía como modalidad autónoma de delito de lesa humanidad.</w:t>
            </w:r>
          </w:p>
        </w:tc>
        <w:tc>
          <w:tcPr>
            <w:tcW w:w="974" w:type="pct"/>
            <w:vAlign w:val="center"/>
          </w:tcPr>
          <w:p w14:paraId="0AE25C48" w14:textId="49328FD4" w:rsidR="0006206E" w:rsidRPr="006B4AA3" w:rsidRDefault="0006206E" w:rsidP="0006206E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B4AA3">
              <w:rPr>
                <w:rFonts w:ascii="Arial" w:hAnsi="Arial" w:cs="Arial"/>
                <w:lang w:val="es-ES"/>
              </w:rPr>
              <w:t>Sala de litigación Alameda</w:t>
            </w:r>
            <w:r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  <w:tr w:rsidR="00787F35" w:rsidRPr="00CF38E3" w14:paraId="48914B8D" w14:textId="77777777" w:rsidTr="0051280D">
        <w:tc>
          <w:tcPr>
            <w:tcW w:w="566" w:type="pct"/>
            <w:vAlign w:val="center"/>
          </w:tcPr>
          <w:p w14:paraId="4650D414" w14:textId="5D0ECBC7" w:rsidR="00787F35" w:rsidRDefault="00787F35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11.30</w:t>
            </w:r>
          </w:p>
        </w:tc>
        <w:tc>
          <w:tcPr>
            <w:tcW w:w="3460" w:type="pct"/>
            <w:vAlign w:val="center"/>
          </w:tcPr>
          <w:p w14:paraId="25E4EC8B" w14:textId="5A10FE06" w:rsidR="00787F35" w:rsidRPr="00E81D18" w:rsidRDefault="00787F35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Café – Intermedio</w:t>
            </w:r>
          </w:p>
        </w:tc>
        <w:tc>
          <w:tcPr>
            <w:tcW w:w="974" w:type="pct"/>
            <w:vAlign w:val="center"/>
          </w:tcPr>
          <w:p w14:paraId="5A534BD7" w14:textId="26B608E1" w:rsidR="00787F35" w:rsidRPr="006B4AA3" w:rsidRDefault="00787F35" w:rsidP="0006206E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Hall Alameda 2240</w:t>
            </w:r>
          </w:p>
        </w:tc>
      </w:tr>
      <w:tr w:rsidR="0006206E" w:rsidRPr="00CF38E3" w14:paraId="31E23AC4" w14:textId="41429A95" w:rsidTr="0051280D">
        <w:tc>
          <w:tcPr>
            <w:tcW w:w="566" w:type="pct"/>
            <w:vAlign w:val="center"/>
          </w:tcPr>
          <w:p w14:paraId="3B9A4CCE" w14:textId="282FE4AE" w:rsidR="0006206E" w:rsidRPr="00E81D18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12.00</w:t>
            </w:r>
          </w:p>
        </w:tc>
        <w:tc>
          <w:tcPr>
            <w:tcW w:w="3460" w:type="pct"/>
            <w:vAlign w:val="center"/>
          </w:tcPr>
          <w:p w14:paraId="37927E57" w14:textId="1EEB153B" w:rsidR="0006206E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81D18">
              <w:rPr>
                <w:rFonts w:ascii="Arial" w:hAnsi="Arial" w:cs="Arial"/>
                <w:b/>
                <w:bCs/>
                <w:lang w:val="es-ES"/>
              </w:rPr>
              <w:t xml:space="preserve">MESA </w:t>
            </w:r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</w:p>
          <w:p w14:paraId="7C6BBC51" w14:textId="1271EA4F" w:rsidR="0006206E" w:rsidRPr="00E81D18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Hermenéutica </w:t>
            </w:r>
            <w:r w:rsidRPr="00E81D18">
              <w:rPr>
                <w:rFonts w:ascii="Arial" w:hAnsi="Arial" w:cs="Arial"/>
                <w:b/>
                <w:bCs/>
                <w:lang w:val="es-ES"/>
              </w:rPr>
              <w:t>y Contradicciones Jurídicas</w:t>
            </w:r>
          </w:p>
          <w:p w14:paraId="4C2472C6" w14:textId="30AFA0DE" w:rsidR="0006206E" w:rsidRPr="00337FC3" w:rsidRDefault="0006206E" w:rsidP="0006206E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Este panel a</w:t>
            </w:r>
            <w:r w:rsidRPr="00E81D18">
              <w:rPr>
                <w:rFonts w:ascii="Arial" w:hAnsi="Arial" w:cs="Arial"/>
                <w:lang w:val="es-ES"/>
              </w:rPr>
              <w:t>naliza las contradicciones internas en la construcción</w:t>
            </w:r>
            <w:r>
              <w:rPr>
                <w:rFonts w:ascii="Arial" w:hAnsi="Arial" w:cs="Arial"/>
                <w:lang w:val="es-ES"/>
              </w:rPr>
              <w:t xml:space="preserve"> de la lógica y la argumentación</w:t>
            </w:r>
            <w:r w:rsidRPr="00E81D18">
              <w:rPr>
                <w:rFonts w:ascii="Arial" w:hAnsi="Arial" w:cs="Arial"/>
                <w:lang w:val="es-ES"/>
              </w:rPr>
              <w:t xml:space="preserve"> jurídica</w:t>
            </w:r>
            <w:r>
              <w:rPr>
                <w:rFonts w:ascii="Arial" w:hAnsi="Arial" w:cs="Arial"/>
                <w:lang w:val="es-ES"/>
              </w:rPr>
              <w:t xml:space="preserve"> en que </w:t>
            </w:r>
            <w:r w:rsidRPr="00E81D18">
              <w:rPr>
                <w:rFonts w:ascii="Arial" w:hAnsi="Arial" w:cs="Arial"/>
                <w:lang w:val="es-ES"/>
              </w:rPr>
              <w:t>los marcos normativos generan ambigüedades que impiden</w:t>
            </w:r>
            <w:r>
              <w:rPr>
                <w:rFonts w:ascii="Arial" w:hAnsi="Arial" w:cs="Arial"/>
                <w:lang w:val="es-ES"/>
              </w:rPr>
              <w:t xml:space="preserve"> su</w:t>
            </w:r>
            <w:r w:rsidRPr="00E81D18">
              <w:rPr>
                <w:rFonts w:ascii="Arial" w:hAnsi="Arial" w:cs="Arial"/>
                <w:lang w:val="es-ES"/>
              </w:rPr>
              <w:t xml:space="preserve"> aplicación consistente.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5D744E">
              <w:rPr>
                <w:rFonts w:ascii="Arial" w:hAnsi="Arial" w:cs="Arial"/>
                <w:lang w:val="es-ES"/>
              </w:rPr>
              <w:t>Modera</w:t>
            </w:r>
            <w:r w:rsidR="005D744E">
              <w:rPr>
                <w:rFonts w:ascii="Arial" w:hAnsi="Arial" w:cs="Arial"/>
                <w:lang w:val="es-ES"/>
              </w:rPr>
              <w:t xml:space="preserve">: Alberto </w:t>
            </w:r>
            <w:r w:rsidR="00171F43">
              <w:rPr>
                <w:rFonts w:ascii="Arial" w:hAnsi="Arial" w:cs="Arial"/>
                <w:lang w:val="es-ES"/>
              </w:rPr>
              <w:t>Barros Reyes</w:t>
            </w:r>
          </w:p>
          <w:p w14:paraId="0A894E91" w14:textId="3EF3ED11" w:rsidR="0006206E" w:rsidRPr="007F1362" w:rsidRDefault="0006206E" w:rsidP="0006206E">
            <w:pPr>
              <w:pStyle w:val="ListParagraph"/>
              <w:numPr>
                <w:ilvl w:val="1"/>
                <w:numId w:val="9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lang w:val="es-ES"/>
              </w:rPr>
            </w:pPr>
            <w:r w:rsidRPr="007F1362">
              <w:rPr>
                <w:rFonts w:ascii="Arial" w:hAnsi="Arial" w:cs="Arial"/>
                <w:b/>
                <w:bCs/>
                <w:lang w:val="es-ES"/>
              </w:rPr>
              <w:t>Camilo Vega Reyes</w:t>
            </w:r>
            <w:r w:rsidRPr="007F1362">
              <w:rPr>
                <w:rFonts w:ascii="Arial" w:hAnsi="Arial" w:cs="Arial"/>
                <w:lang w:val="es-ES"/>
              </w:rPr>
              <w:t xml:space="preserve">: </w:t>
            </w:r>
            <w:r w:rsidRPr="00851102">
              <w:rPr>
                <w:rFonts w:ascii="Arial" w:hAnsi="Arial" w:cs="Arial"/>
                <w:lang w:val="es-ES"/>
              </w:rPr>
              <w:t>La Universalización de los Derechos Humanos ante un incipiente Nuevo Orden Internacional:</w:t>
            </w:r>
          </w:p>
          <w:p w14:paraId="3C774221" w14:textId="77777777" w:rsidR="0006206E" w:rsidRPr="007D2FF2" w:rsidRDefault="0006206E" w:rsidP="0006206E">
            <w:pPr>
              <w:pStyle w:val="ListParagraph"/>
              <w:numPr>
                <w:ilvl w:val="1"/>
                <w:numId w:val="9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lang w:val="es-ES"/>
              </w:rPr>
            </w:pPr>
            <w:r w:rsidRPr="00763624">
              <w:rPr>
                <w:rFonts w:ascii="Arial" w:hAnsi="Arial" w:cs="Arial"/>
                <w:b/>
                <w:bCs/>
              </w:rPr>
              <w:t xml:space="preserve">Felipe Miranda Aedo: </w:t>
            </w:r>
            <w:r w:rsidRPr="00763624">
              <w:rPr>
                <w:rFonts w:ascii="Arial" w:hAnsi="Arial" w:cs="Arial"/>
              </w:rPr>
              <w:t>¿El Derecho condenado a la zaga de la realidad social?: Hacia una concepción constitutiva del Derecho</w:t>
            </w:r>
            <w:r>
              <w:rPr>
                <w:rFonts w:ascii="Arial" w:hAnsi="Arial" w:cs="Arial"/>
              </w:rPr>
              <w:t xml:space="preserve"> </w:t>
            </w:r>
          </w:p>
          <w:p w14:paraId="2CB18904" w14:textId="6FF6C06D" w:rsidR="0006206E" w:rsidRPr="007D2FF2" w:rsidRDefault="0006206E" w:rsidP="0006206E">
            <w:pPr>
              <w:pStyle w:val="ListParagraph"/>
              <w:numPr>
                <w:ilvl w:val="1"/>
                <w:numId w:val="9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lang w:val="es-ES"/>
              </w:rPr>
            </w:pPr>
            <w:r w:rsidRPr="00B477E8">
              <w:rPr>
                <w:rFonts w:ascii="Arial" w:hAnsi="Arial" w:cs="Arial"/>
                <w:b/>
                <w:bCs/>
                <w:lang w:val="es-ES"/>
              </w:rPr>
              <w:lastRenderedPageBreak/>
              <w:t>Vicente Bustos Sánchez</w:t>
            </w:r>
            <w:r w:rsidRPr="00B477E8">
              <w:rPr>
                <w:rFonts w:ascii="Arial" w:hAnsi="Arial" w:cs="Arial"/>
                <w:lang w:val="es-ES"/>
              </w:rPr>
              <w:t xml:space="preserve">: El derecho administrativo como </w:t>
            </w:r>
            <w:r w:rsidR="002965C1">
              <w:rPr>
                <w:rFonts w:ascii="Arial" w:hAnsi="Arial" w:cs="Arial"/>
                <w:lang w:val="es-ES"/>
              </w:rPr>
              <w:t>instrumento</w:t>
            </w:r>
            <w:r w:rsidRPr="00B477E8">
              <w:rPr>
                <w:rFonts w:ascii="Arial" w:hAnsi="Arial" w:cs="Arial"/>
                <w:lang w:val="es-ES"/>
              </w:rPr>
              <w:t xml:space="preserve"> para el cambio social</w:t>
            </w:r>
          </w:p>
        </w:tc>
        <w:tc>
          <w:tcPr>
            <w:tcW w:w="974" w:type="pct"/>
            <w:vAlign w:val="center"/>
          </w:tcPr>
          <w:p w14:paraId="33311A20" w14:textId="2A4EDA43" w:rsidR="0006206E" w:rsidRPr="006B4AA3" w:rsidRDefault="0006206E" w:rsidP="0006206E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B4AA3">
              <w:rPr>
                <w:rFonts w:ascii="Arial" w:hAnsi="Arial" w:cs="Arial"/>
                <w:lang w:val="es-ES"/>
              </w:rPr>
              <w:lastRenderedPageBreak/>
              <w:t>Sala de litigación Alameda</w:t>
            </w:r>
            <w:r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  <w:tr w:rsidR="0006206E" w:rsidRPr="00CF38E3" w14:paraId="394B3CBE" w14:textId="2F442BB4" w:rsidTr="0051280D">
        <w:tc>
          <w:tcPr>
            <w:tcW w:w="566" w:type="pct"/>
            <w:vAlign w:val="center"/>
          </w:tcPr>
          <w:p w14:paraId="784E39E8" w14:textId="6273586D" w:rsidR="0006206E" w:rsidRPr="00413D3C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16.00</w:t>
            </w:r>
          </w:p>
        </w:tc>
        <w:tc>
          <w:tcPr>
            <w:tcW w:w="3460" w:type="pct"/>
            <w:vAlign w:val="center"/>
          </w:tcPr>
          <w:p w14:paraId="544C3A8C" w14:textId="3766A82B" w:rsidR="0006206E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13D3C">
              <w:rPr>
                <w:rFonts w:ascii="Arial" w:hAnsi="Arial" w:cs="Arial"/>
                <w:b/>
                <w:bCs/>
                <w:lang w:val="es-ES"/>
              </w:rPr>
              <w:t xml:space="preserve">MESA 6 </w:t>
            </w:r>
          </w:p>
          <w:p w14:paraId="506F0574" w14:textId="15CFB284" w:rsidR="0006206E" w:rsidRPr="00413D3C" w:rsidRDefault="0006206E" w:rsidP="00062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13D3C">
              <w:rPr>
                <w:rFonts w:ascii="Arial" w:hAnsi="Arial" w:cs="Arial"/>
                <w:b/>
                <w:bCs/>
                <w:lang w:val="es-ES"/>
              </w:rPr>
              <w:t xml:space="preserve">Actualizaciones Contemporáneas de </w:t>
            </w:r>
            <w:r>
              <w:rPr>
                <w:rFonts w:ascii="Arial" w:hAnsi="Arial" w:cs="Arial"/>
                <w:b/>
                <w:bCs/>
                <w:lang w:val="es-ES"/>
              </w:rPr>
              <w:t>crítica y derecho</w:t>
            </w:r>
          </w:p>
          <w:p w14:paraId="4E31155F" w14:textId="41A7DDA7" w:rsidR="0006206E" w:rsidRPr="00337FC3" w:rsidRDefault="0006206E" w:rsidP="0006206E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413D3C">
              <w:rPr>
                <w:rFonts w:ascii="Arial" w:hAnsi="Arial" w:cs="Arial"/>
                <w:lang w:val="es-ES"/>
              </w:rPr>
              <w:t xml:space="preserve">Analiza cómo nuevas tecnologías (algoritmos, vigilancia digital) </w:t>
            </w:r>
            <w:r>
              <w:rPr>
                <w:rFonts w:ascii="Arial" w:hAnsi="Arial" w:cs="Arial"/>
                <w:lang w:val="es-ES"/>
              </w:rPr>
              <w:t xml:space="preserve">o decisiones de los operadores jurídicos conforman formas de </w:t>
            </w:r>
            <w:r w:rsidRPr="00413D3C">
              <w:rPr>
                <w:rFonts w:ascii="Arial" w:hAnsi="Arial" w:cs="Arial"/>
                <w:lang w:val="es-ES"/>
              </w:rPr>
              <w:t>dominación mediante apariencia de objetividad técnica.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171F43">
              <w:rPr>
                <w:rFonts w:ascii="Arial" w:hAnsi="Arial" w:cs="Arial"/>
                <w:lang w:val="es-ES"/>
              </w:rPr>
              <w:t>Modera:</w:t>
            </w:r>
            <w:r w:rsidR="00C31A31">
              <w:rPr>
                <w:rFonts w:ascii="Arial" w:hAnsi="Arial" w:cs="Arial"/>
                <w:lang w:val="es-ES"/>
              </w:rPr>
              <w:t xml:space="preserve"> Giovanna Salinas Gutiérrez</w:t>
            </w:r>
          </w:p>
          <w:p w14:paraId="16A171C0" w14:textId="77777777" w:rsidR="0006206E" w:rsidRDefault="0006206E" w:rsidP="000620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413D3C">
              <w:rPr>
                <w:rFonts w:ascii="Arial" w:hAnsi="Arial" w:cs="Arial"/>
                <w:b/>
                <w:bCs/>
                <w:lang w:val="es-ES"/>
              </w:rPr>
              <w:t>Pedro J. Cea Saavedra</w:t>
            </w:r>
            <w:r w:rsidRPr="00413D3C">
              <w:rPr>
                <w:rFonts w:ascii="Arial" w:hAnsi="Arial" w:cs="Arial"/>
                <w:lang w:val="es-ES"/>
              </w:rPr>
              <w:t xml:space="preserve">: </w:t>
            </w:r>
            <w:r w:rsidRPr="00243A72">
              <w:rPr>
                <w:rFonts w:ascii="Arial" w:hAnsi="Arial" w:cs="Arial"/>
                <w:lang w:val="es-ES"/>
              </w:rPr>
              <w:t>El Derecho y el Código: TCD frente al Panóptico Algorítmico y la Violencia Simbólica</w:t>
            </w:r>
          </w:p>
          <w:p w14:paraId="7FDF43E1" w14:textId="03455A2F" w:rsidR="0006206E" w:rsidRPr="000230E6" w:rsidRDefault="0006206E" w:rsidP="000620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0230E6">
              <w:rPr>
                <w:rFonts w:ascii="Arial" w:hAnsi="Arial" w:cs="Arial"/>
                <w:b/>
                <w:bCs/>
                <w:lang w:val="es-ES"/>
              </w:rPr>
              <w:t xml:space="preserve">Ignacio Meneses: </w:t>
            </w:r>
            <w:r w:rsidRPr="000230E6">
              <w:rPr>
                <w:rFonts w:ascii="Arial" w:hAnsi="Arial" w:cs="Arial"/>
                <w:lang w:val="es-ES"/>
              </w:rPr>
              <w:t>DL 2695: ¿Saneamiento Social o Nuevo Instrumento de Desposesión? Una Crítica de Clase a la "Vulgarización" de la Propiedad Inscrita en la Jurisprudencia Chilena</w:t>
            </w:r>
          </w:p>
          <w:p w14:paraId="5049C65A" w14:textId="73AB41DD" w:rsidR="0006206E" w:rsidRPr="007D2FF2" w:rsidRDefault="0006206E" w:rsidP="000620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lang w:val="es-ES"/>
              </w:rPr>
            </w:pPr>
            <w:r w:rsidRPr="004E1124">
              <w:rPr>
                <w:rFonts w:ascii="Arial" w:hAnsi="Arial" w:cs="Arial"/>
                <w:b/>
                <w:bCs/>
              </w:rPr>
              <w:t>Rocío Rodríguez Zamora:</w:t>
            </w:r>
            <w:r w:rsidRPr="004E1124">
              <w:rPr>
                <w:rFonts w:ascii="Arial" w:hAnsi="Arial" w:cs="Arial"/>
              </w:rPr>
              <w:t xml:space="preserve"> Critica de “El derecho como Obstáculo al cambio social” aplicado al fallo del “caso SQM”</w:t>
            </w:r>
          </w:p>
        </w:tc>
        <w:tc>
          <w:tcPr>
            <w:tcW w:w="974" w:type="pct"/>
            <w:vAlign w:val="center"/>
          </w:tcPr>
          <w:p w14:paraId="654D7141" w14:textId="68898D8C" w:rsidR="0006206E" w:rsidRPr="00AA4459" w:rsidRDefault="0006206E" w:rsidP="0006206E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6B4AA3">
              <w:rPr>
                <w:rFonts w:ascii="Arial" w:hAnsi="Arial" w:cs="Arial"/>
                <w:lang w:val="es-ES"/>
              </w:rPr>
              <w:t>Sala de litigación Alameda</w:t>
            </w:r>
            <w:r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  <w:tr w:rsidR="000348B7" w:rsidRPr="00CF38E3" w14:paraId="15E98A7A" w14:textId="77777777" w:rsidTr="0051280D">
        <w:tc>
          <w:tcPr>
            <w:tcW w:w="566" w:type="pct"/>
            <w:vAlign w:val="center"/>
          </w:tcPr>
          <w:p w14:paraId="329BA5B2" w14:textId="3B9860BF" w:rsidR="000348B7" w:rsidRDefault="000348B7" w:rsidP="000348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17.00</w:t>
            </w:r>
          </w:p>
        </w:tc>
        <w:tc>
          <w:tcPr>
            <w:tcW w:w="3460" w:type="pct"/>
            <w:vAlign w:val="center"/>
          </w:tcPr>
          <w:p w14:paraId="18305A82" w14:textId="5D1A78B9" w:rsidR="000348B7" w:rsidRPr="008B2369" w:rsidRDefault="000348B7" w:rsidP="00413D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B2369">
              <w:rPr>
                <w:rFonts w:ascii="Arial" w:hAnsi="Arial" w:cs="Arial"/>
                <w:b/>
                <w:bCs/>
                <w:lang w:val="es-ES"/>
              </w:rPr>
              <w:t>Palabras de agradecimiento y cierre</w:t>
            </w:r>
          </w:p>
        </w:tc>
        <w:tc>
          <w:tcPr>
            <w:tcW w:w="974" w:type="pct"/>
          </w:tcPr>
          <w:p w14:paraId="120CF396" w14:textId="704A17D9" w:rsidR="000348B7" w:rsidRPr="00AA4459" w:rsidRDefault="00AA4459" w:rsidP="00413D3C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AA4459">
              <w:rPr>
                <w:rFonts w:ascii="Arial" w:hAnsi="Arial" w:cs="Arial"/>
                <w:lang w:val="es-ES"/>
              </w:rPr>
              <w:t>Hall Alameda</w:t>
            </w:r>
            <w:r w:rsidR="0006206E"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  <w:tr w:rsidR="000348B7" w:rsidRPr="008B2369" w14:paraId="049D18D7" w14:textId="77777777" w:rsidTr="0051280D">
        <w:tc>
          <w:tcPr>
            <w:tcW w:w="566" w:type="pct"/>
            <w:vAlign w:val="center"/>
          </w:tcPr>
          <w:p w14:paraId="5B7B1824" w14:textId="7448A276" w:rsidR="000348B7" w:rsidRPr="008B2369" w:rsidRDefault="000348B7" w:rsidP="000348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B2369">
              <w:rPr>
                <w:rFonts w:ascii="Arial" w:hAnsi="Arial" w:cs="Arial"/>
                <w:b/>
                <w:bCs/>
                <w:lang w:val="es-ES"/>
              </w:rPr>
              <w:t>17.00</w:t>
            </w:r>
          </w:p>
        </w:tc>
        <w:tc>
          <w:tcPr>
            <w:tcW w:w="3460" w:type="pct"/>
            <w:vAlign w:val="center"/>
          </w:tcPr>
          <w:p w14:paraId="1C5A1364" w14:textId="3F290415" w:rsidR="000348B7" w:rsidRPr="008B2369" w:rsidRDefault="000348B7" w:rsidP="00413D3C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B2369">
              <w:rPr>
                <w:rFonts w:ascii="Arial" w:hAnsi="Arial" w:cs="Arial"/>
                <w:b/>
                <w:bCs/>
                <w:lang w:val="es-ES"/>
              </w:rPr>
              <w:t xml:space="preserve">Café </w:t>
            </w:r>
            <w:r w:rsidR="008B2369" w:rsidRPr="008B2369">
              <w:rPr>
                <w:rFonts w:ascii="Arial" w:hAnsi="Arial" w:cs="Arial"/>
                <w:b/>
                <w:bCs/>
                <w:lang w:val="es-ES"/>
              </w:rPr>
              <w:t>-</w:t>
            </w:r>
            <w:r w:rsidRPr="008B2369">
              <w:rPr>
                <w:rFonts w:ascii="Arial" w:hAnsi="Arial" w:cs="Arial"/>
                <w:b/>
                <w:bCs/>
                <w:lang w:val="es-ES"/>
              </w:rPr>
              <w:t xml:space="preserve"> vino de honor</w:t>
            </w:r>
          </w:p>
        </w:tc>
        <w:tc>
          <w:tcPr>
            <w:tcW w:w="974" w:type="pct"/>
          </w:tcPr>
          <w:p w14:paraId="46A6B5E6" w14:textId="5F0DA591" w:rsidR="000348B7" w:rsidRPr="00AA4459" w:rsidRDefault="00AA4459" w:rsidP="00413D3C">
            <w:pPr>
              <w:spacing w:before="120" w:after="120"/>
              <w:jc w:val="center"/>
              <w:rPr>
                <w:rFonts w:ascii="Arial" w:hAnsi="Arial" w:cs="Arial"/>
                <w:lang w:val="es-ES"/>
              </w:rPr>
            </w:pPr>
            <w:r w:rsidRPr="00AA4459">
              <w:rPr>
                <w:rFonts w:ascii="Arial" w:hAnsi="Arial" w:cs="Arial"/>
                <w:lang w:val="es-ES"/>
              </w:rPr>
              <w:t>Hall Alameda</w:t>
            </w:r>
            <w:r w:rsidR="0006206E">
              <w:rPr>
                <w:rFonts w:ascii="Arial" w:hAnsi="Arial" w:cs="Arial"/>
                <w:lang w:val="es-ES"/>
              </w:rPr>
              <w:t xml:space="preserve"> 2240</w:t>
            </w:r>
          </w:p>
        </w:tc>
      </w:tr>
    </w:tbl>
    <w:p w14:paraId="78328FF3" w14:textId="77777777" w:rsidR="00CF38E3" w:rsidRPr="008B2369" w:rsidRDefault="00CF38E3">
      <w:pPr>
        <w:rPr>
          <w:rFonts w:ascii="Arial" w:hAnsi="Arial" w:cs="Arial"/>
          <w:b/>
          <w:bCs/>
        </w:rPr>
      </w:pPr>
    </w:p>
    <w:sectPr w:rsidR="00CF38E3" w:rsidRPr="008B2369" w:rsidSect="0051280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1F79"/>
    <w:multiLevelType w:val="multilevel"/>
    <w:tmpl w:val="F0DE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06153"/>
    <w:multiLevelType w:val="multilevel"/>
    <w:tmpl w:val="56B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5423A"/>
    <w:multiLevelType w:val="multilevel"/>
    <w:tmpl w:val="C08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A4752"/>
    <w:multiLevelType w:val="multilevel"/>
    <w:tmpl w:val="930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0152E"/>
    <w:multiLevelType w:val="hybridMultilevel"/>
    <w:tmpl w:val="5EE4D3EC"/>
    <w:lvl w:ilvl="0" w:tplc="95A0B2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F3B"/>
    <w:multiLevelType w:val="multilevel"/>
    <w:tmpl w:val="292C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904EDC"/>
    <w:multiLevelType w:val="multilevel"/>
    <w:tmpl w:val="C61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FA2530"/>
    <w:multiLevelType w:val="hybridMultilevel"/>
    <w:tmpl w:val="9C84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C1EC7"/>
    <w:multiLevelType w:val="multilevel"/>
    <w:tmpl w:val="A448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35709"/>
    <w:multiLevelType w:val="multilevel"/>
    <w:tmpl w:val="ED36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766183">
    <w:abstractNumId w:val="2"/>
  </w:num>
  <w:num w:numId="2" w16cid:durableId="1269002456">
    <w:abstractNumId w:val="9"/>
  </w:num>
  <w:num w:numId="3" w16cid:durableId="1691251662">
    <w:abstractNumId w:val="0"/>
  </w:num>
  <w:num w:numId="4" w16cid:durableId="1856186078">
    <w:abstractNumId w:val="3"/>
  </w:num>
  <w:num w:numId="5" w16cid:durableId="756904212">
    <w:abstractNumId w:val="8"/>
  </w:num>
  <w:num w:numId="6" w16cid:durableId="207375540">
    <w:abstractNumId w:val="7"/>
  </w:num>
  <w:num w:numId="7" w16cid:durableId="983503463">
    <w:abstractNumId w:val="4"/>
  </w:num>
  <w:num w:numId="8" w16cid:durableId="305353736">
    <w:abstractNumId w:val="1"/>
  </w:num>
  <w:num w:numId="9" w16cid:durableId="1308049037">
    <w:abstractNumId w:val="5"/>
  </w:num>
  <w:num w:numId="10" w16cid:durableId="1472364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E3"/>
    <w:rsid w:val="000230E6"/>
    <w:rsid w:val="000348B7"/>
    <w:rsid w:val="00042DBD"/>
    <w:rsid w:val="0006206E"/>
    <w:rsid w:val="0008076D"/>
    <w:rsid w:val="00085EEB"/>
    <w:rsid w:val="00091E52"/>
    <w:rsid w:val="000A6AB5"/>
    <w:rsid w:val="000A70DC"/>
    <w:rsid w:val="000B3298"/>
    <w:rsid w:val="000D35D7"/>
    <w:rsid w:val="00104251"/>
    <w:rsid w:val="00110130"/>
    <w:rsid w:val="00114966"/>
    <w:rsid w:val="0015597B"/>
    <w:rsid w:val="00163BD7"/>
    <w:rsid w:val="00167577"/>
    <w:rsid w:val="00171F43"/>
    <w:rsid w:val="00174309"/>
    <w:rsid w:val="00174FEF"/>
    <w:rsid w:val="00196CF4"/>
    <w:rsid w:val="001B7C8C"/>
    <w:rsid w:val="001E155E"/>
    <w:rsid w:val="001F1566"/>
    <w:rsid w:val="00217E0A"/>
    <w:rsid w:val="002204B3"/>
    <w:rsid w:val="002251FC"/>
    <w:rsid w:val="00243A72"/>
    <w:rsid w:val="00285771"/>
    <w:rsid w:val="002965C1"/>
    <w:rsid w:val="002C5601"/>
    <w:rsid w:val="002D1E68"/>
    <w:rsid w:val="00302EB6"/>
    <w:rsid w:val="0032694D"/>
    <w:rsid w:val="003301B6"/>
    <w:rsid w:val="00337FC3"/>
    <w:rsid w:val="003578D9"/>
    <w:rsid w:val="00361C89"/>
    <w:rsid w:val="0039282B"/>
    <w:rsid w:val="00392890"/>
    <w:rsid w:val="003E3314"/>
    <w:rsid w:val="003E5492"/>
    <w:rsid w:val="003E7D06"/>
    <w:rsid w:val="00413D3C"/>
    <w:rsid w:val="004613A2"/>
    <w:rsid w:val="00492886"/>
    <w:rsid w:val="004B2863"/>
    <w:rsid w:val="004B571A"/>
    <w:rsid w:val="004E1124"/>
    <w:rsid w:val="004E289D"/>
    <w:rsid w:val="004F0DF9"/>
    <w:rsid w:val="004F3B4A"/>
    <w:rsid w:val="005036DD"/>
    <w:rsid w:val="0051280D"/>
    <w:rsid w:val="00522C88"/>
    <w:rsid w:val="00530772"/>
    <w:rsid w:val="00531133"/>
    <w:rsid w:val="00541E66"/>
    <w:rsid w:val="005824C7"/>
    <w:rsid w:val="005B16D5"/>
    <w:rsid w:val="005C6F6F"/>
    <w:rsid w:val="005D744E"/>
    <w:rsid w:val="005E2E66"/>
    <w:rsid w:val="005F34FB"/>
    <w:rsid w:val="006419D6"/>
    <w:rsid w:val="006657EF"/>
    <w:rsid w:val="006A4009"/>
    <w:rsid w:val="006A7DCF"/>
    <w:rsid w:val="006B4AA3"/>
    <w:rsid w:val="006C2E6C"/>
    <w:rsid w:val="006D2038"/>
    <w:rsid w:val="006D2BDE"/>
    <w:rsid w:val="006E4919"/>
    <w:rsid w:val="00732DFD"/>
    <w:rsid w:val="0074395B"/>
    <w:rsid w:val="00760D9E"/>
    <w:rsid w:val="00763624"/>
    <w:rsid w:val="00787F35"/>
    <w:rsid w:val="00790DEE"/>
    <w:rsid w:val="00793565"/>
    <w:rsid w:val="007A7C45"/>
    <w:rsid w:val="007C32D1"/>
    <w:rsid w:val="007C51EF"/>
    <w:rsid w:val="007D2FF2"/>
    <w:rsid w:val="007E499D"/>
    <w:rsid w:val="007F1362"/>
    <w:rsid w:val="007F73E2"/>
    <w:rsid w:val="008334E9"/>
    <w:rsid w:val="00835AF1"/>
    <w:rsid w:val="00841556"/>
    <w:rsid w:val="00842465"/>
    <w:rsid w:val="00851102"/>
    <w:rsid w:val="008B2369"/>
    <w:rsid w:val="008C5A8D"/>
    <w:rsid w:val="0091362F"/>
    <w:rsid w:val="00916710"/>
    <w:rsid w:val="00927A89"/>
    <w:rsid w:val="00936603"/>
    <w:rsid w:val="00947D12"/>
    <w:rsid w:val="00975604"/>
    <w:rsid w:val="00983CD9"/>
    <w:rsid w:val="00985D0B"/>
    <w:rsid w:val="0099442D"/>
    <w:rsid w:val="009964CC"/>
    <w:rsid w:val="009977FF"/>
    <w:rsid w:val="009B1D0E"/>
    <w:rsid w:val="009C5E08"/>
    <w:rsid w:val="009F419A"/>
    <w:rsid w:val="009F68B2"/>
    <w:rsid w:val="00A20463"/>
    <w:rsid w:val="00A31EE2"/>
    <w:rsid w:val="00A4716B"/>
    <w:rsid w:val="00A55403"/>
    <w:rsid w:val="00A82654"/>
    <w:rsid w:val="00A853AA"/>
    <w:rsid w:val="00AA4459"/>
    <w:rsid w:val="00AA47D1"/>
    <w:rsid w:val="00AC7300"/>
    <w:rsid w:val="00AD0227"/>
    <w:rsid w:val="00B23BF6"/>
    <w:rsid w:val="00B276F4"/>
    <w:rsid w:val="00B34056"/>
    <w:rsid w:val="00B477E8"/>
    <w:rsid w:val="00B6307B"/>
    <w:rsid w:val="00B722ED"/>
    <w:rsid w:val="00B82728"/>
    <w:rsid w:val="00B848C4"/>
    <w:rsid w:val="00B94EE9"/>
    <w:rsid w:val="00BB5721"/>
    <w:rsid w:val="00BD1F1D"/>
    <w:rsid w:val="00BE355D"/>
    <w:rsid w:val="00C17F34"/>
    <w:rsid w:val="00C31A31"/>
    <w:rsid w:val="00C36F22"/>
    <w:rsid w:val="00C66B0F"/>
    <w:rsid w:val="00C66E1B"/>
    <w:rsid w:val="00CB0EC3"/>
    <w:rsid w:val="00CD30CA"/>
    <w:rsid w:val="00CE78EE"/>
    <w:rsid w:val="00CF38E3"/>
    <w:rsid w:val="00D06216"/>
    <w:rsid w:val="00D10C8E"/>
    <w:rsid w:val="00D242CA"/>
    <w:rsid w:val="00D27116"/>
    <w:rsid w:val="00D515A7"/>
    <w:rsid w:val="00DD4BE1"/>
    <w:rsid w:val="00E81D18"/>
    <w:rsid w:val="00EA1ACB"/>
    <w:rsid w:val="00EC1F0E"/>
    <w:rsid w:val="00F05E63"/>
    <w:rsid w:val="00F122B9"/>
    <w:rsid w:val="00F53164"/>
    <w:rsid w:val="00F92131"/>
    <w:rsid w:val="00FB7DC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6F69"/>
  <w15:chartTrackingRefBased/>
  <w15:docId w15:val="{823D18BD-C392-409E-A821-4A7BB2BF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8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47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21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Antonio Santander Vásquez</dc:creator>
  <cp:keywords/>
  <dc:description/>
  <cp:lastModifiedBy>Yuri Antonio Santander Vásquez</cp:lastModifiedBy>
  <cp:revision>2</cp:revision>
  <cp:lastPrinted>2025-11-19T21:06:00Z</cp:lastPrinted>
  <dcterms:created xsi:type="dcterms:W3CDTF">2025-11-24T14:18:00Z</dcterms:created>
  <dcterms:modified xsi:type="dcterms:W3CDTF">2025-11-24T14:18:00Z</dcterms:modified>
</cp:coreProperties>
</file>